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AD1588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73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>z dnia</w:t>
      </w:r>
      <w:r w:rsidR="00AD1588">
        <w:rPr>
          <w:rFonts w:eastAsia="Times New Roman"/>
          <w:sz w:val="22"/>
          <w:szCs w:val="22"/>
        </w:rPr>
        <w:t xml:space="preserve"> 3 lutego </w:t>
      </w:r>
      <w:r w:rsidR="00657C3A">
        <w:rPr>
          <w:rFonts w:eastAsia="Times New Roman"/>
          <w:sz w:val="22"/>
          <w:szCs w:val="22"/>
        </w:rPr>
        <w:t>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EF252A" w:rsidRDefault="00EF252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5512D3">
        <w:rPr>
          <w:rFonts w:eastAsia="Times New Roman"/>
          <w:lang w:eastAsia="en-US" w:bidi="en-US"/>
        </w:rPr>
        <w:t>ionym realizacji zadania</w:t>
      </w:r>
      <w:r>
        <w:rPr>
          <w:rFonts w:eastAsia="Times New Roman"/>
          <w:lang w:eastAsia="en-US" w:bidi="en-US"/>
        </w:rPr>
        <w:t xml:space="preserve">: </w:t>
      </w:r>
    </w:p>
    <w:p w:rsidR="00F6715A" w:rsidRDefault="00F6715A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Default="005512D3" w:rsidP="002B6B3D">
      <w:pPr>
        <w:pStyle w:val="Li"/>
        <w:tabs>
          <w:tab w:val="left" w:pos="425"/>
        </w:tabs>
        <w:jc w:val="both"/>
      </w:pPr>
      <w:r>
        <w:rPr>
          <w:lang w:val="pl-PL"/>
        </w:rPr>
        <w:t xml:space="preserve">Opracowanie i realizacja programu pn. </w:t>
      </w:r>
      <w:r w:rsidR="009B508D">
        <w:rPr>
          <w:lang w:val="pl-PL"/>
        </w:rPr>
        <w:t>„Z</w:t>
      </w:r>
      <w:r>
        <w:rPr>
          <w:lang w:val="pl-PL"/>
        </w:rPr>
        <w:t>drowie na wyspach”</w:t>
      </w:r>
      <w:r w:rsidR="002B6B3D" w:rsidRPr="00BD7973">
        <w:t>- kwota prze</w:t>
      </w:r>
      <w:r w:rsidR="009B508D">
        <w:t xml:space="preserve">znaczona na realizację zadania </w:t>
      </w:r>
      <w:r w:rsidR="009B508D">
        <w:rPr>
          <w:lang w:val="pl-PL"/>
        </w:rPr>
        <w:t>40</w:t>
      </w:r>
      <w:r w:rsidR="002B6B3D">
        <w:t>.</w:t>
      </w:r>
      <w:r w:rsidR="009B508D">
        <w:rPr>
          <w:lang w:val="pl-PL"/>
        </w:rPr>
        <w:t>0</w:t>
      </w:r>
      <w:r w:rsidR="002B6B3D">
        <w:t>00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021AC8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</w:t>
      </w:r>
      <w:r w:rsidR="00021AC8">
        <w:rPr>
          <w:lang w:eastAsia="en-US" w:bidi="en-US"/>
        </w:rPr>
        <w:t>alizację zadania publicznego  z </w:t>
      </w:r>
      <w:r>
        <w:rPr>
          <w:lang w:eastAsia="en-US" w:bidi="en-US"/>
        </w:rPr>
        <w:t>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</w:t>
      </w:r>
      <w:r w:rsidR="00021AC8">
        <w:rPr>
          <w:lang w:eastAsia="en-US" w:bidi="en-US"/>
        </w:rPr>
        <w:t>omisji” – rozumie się przez to K</w:t>
      </w:r>
      <w:r>
        <w:rPr>
          <w:lang w:eastAsia="en-US" w:bidi="en-US"/>
        </w:rPr>
        <w:t xml:space="preserve">omisję </w:t>
      </w:r>
      <w:r w:rsidR="00021AC8">
        <w:rPr>
          <w:lang w:eastAsia="en-US" w:bidi="en-US"/>
        </w:rPr>
        <w:t>K</w:t>
      </w:r>
      <w:r>
        <w:rPr>
          <w:lang w:eastAsia="en-US" w:bidi="en-US"/>
        </w:rPr>
        <w:t>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>e i</w:t>
      </w:r>
      <w:r w:rsidR="00BB2EBE">
        <w:rPr>
          <w:color w:val="000000"/>
          <w:lang w:eastAsia="en-US" w:bidi="en-US"/>
        </w:rPr>
        <w:t> </w:t>
      </w:r>
      <w:r w:rsidR="00D70C8D">
        <w:rPr>
          <w:color w:val="000000"/>
          <w:lang w:eastAsia="en-US" w:bidi="en-US"/>
        </w:rPr>
        <w:t xml:space="preserve">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późn.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84089F">
        <w:rPr>
          <w:rFonts w:eastAsia="Times New Roman"/>
          <w:b/>
          <w:bCs/>
          <w:lang w:eastAsia="en-US" w:bidi="en-US"/>
        </w:rPr>
        <w:t>22 </w:t>
      </w:r>
      <w:bookmarkStart w:id="0" w:name="_GoBack"/>
      <w:bookmarkEnd w:id="0"/>
      <w:r w:rsidR="00021AC8">
        <w:rPr>
          <w:rFonts w:eastAsia="Times New Roman"/>
          <w:b/>
          <w:bCs/>
          <w:lang w:eastAsia="en-US" w:bidi="en-US"/>
        </w:rPr>
        <w:t xml:space="preserve">lutego 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021AC8">
        <w:rPr>
          <w:rFonts w:eastAsia="Times New Roman"/>
          <w:lang w:eastAsia="en-US" w:bidi="en-US"/>
        </w:rPr>
        <w:t xml:space="preserve"> nr </w:t>
      </w:r>
      <w:r w:rsidR="00265DBF">
        <w:rPr>
          <w:rFonts w:eastAsia="Times New Roman"/>
          <w:lang w:eastAsia="en-US" w:bidi="en-US"/>
        </w:rPr>
        <w:t>73</w:t>
      </w:r>
      <w:r w:rsidR="00F5565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</w:t>
      </w:r>
      <w:r w:rsidR="00265DBF">
        <w:rPr>
          <w:rFonts w:eastAsia="Times New Roman"/>
          <w:lang w:eastAsia="en-US" w:bidi="en-US"/>
        </w:rPr>
        <w:t>3 lutego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021AC8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</w:t>
      </w:r>
      <w:r w:rsidR="001831EA">
        <w:rPr>
          <w:rFonts w:eastAsia="Times New Roman"/>
          <w:lang w:eastAsia="en-US" w:bidi="en-US"/>
        </w:rPr>
        <w:t xml:space="preserve">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uprawnionej do reprezentowania podmiotu składającego ofertę o</w:t>
      </w:r>
      <w:r w:rsidR="00FE3117">
        <w:t> </w:t>
      </w:r>
      <w:r>
        <w:t xml:space="preserve">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A941AC" w:rsidRDefault="001831EA" w:rsidP="00A941A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1A4FC0"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2) </w:t>
      </w:r>
      <w:r w:rsidR="001D463A" w:rsidRPr="004348BC">
        <w:rPr>
          <w:rFonts w:eastAsia="Lucida Sans Unicode"/>
          <w:color w:val="000000"/>
          <w:lang w:eastAsia="en-US" w:bidi="en-US"/>
        </w:rPr>
        <w:t>kalkulacj</w:t>
      </w:r>
      <w:r>
        <w:rPr>
          <w:rFonts w:eastAsia="Lucida Sans Unicode"/>
          <w:color w:val="000000"/>
          <w:lang w:eastAsia="en-US" w:bidi="en-US"/>
        </w:rPr>
        <w:t>ę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1D463A">
        <w:rPr>
          <w:rFonts w:eastAsia="Lucida Sans Unicode"/>
          <w:color w:val="000000"/>
          <w:lang w:eastAsia="en-US" w:bidi="en-US"/>
        </w:rPr>
        <w:t xml:space="preserve">zakresu rzeczowego zadania do </w:t>
      </w:r>
      <w:r>
        <w:rPr>
          <w:rFonts w:eastAsia="Lucida Sans Unicode"/>
          <w:color w:val="000000"/>
          <w:lang w:eastAsia="en-US" w:bidi="en-US"/>
        </w:rPr>
        <w:t>3</w:t>
      </w:r>
      <w:r w:rsidR="001D463A" w:rsidRPr="004348BC">
        <w:rPr>
          <w:rFonts w:eastAsia="Lucida Sans Unicode"/>
          <w:color w:val="000000"/>
          <w:lang w:eastAsia="en-US" w:bidi="en-US"/>
        </w:rPr>
        <w:t>0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3) </w:t>
      </w:r>
      <w:r w:rsidR="001D463A" w:rsidRPr="00A941A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 w:rsidRPr="00A941AC">
        <w:rPr>
          <w:rFonts w:eastAsia="Lucida Sans Unicode"/>
          <w:color w:val="000000"/>
          <w:lang w:eastAsia="en-US" w:bidi="en-US"/>
        </w:rPr>
        <w:t xml:space="preserve">sób realizujących zadanie do </w:t>
      </w:r>
      <w:r>
        <w:rPr>
          <w:rFonts w:eastAsia="Lucida Sans Unicode"/>
          <w:color w:val="000000"/>
          <w:lang w:eastAsia="en-US" w:bidi="en-US"/>
        </w:rPr>
        <w:t>2</w:t>
      </w:r>
      <w:r w:rsidR="002C57D4" w:rsidRPr="00A941AC">
        <w:rPr>
          <w:rFonts w:eastAsia="Lucida Sans Unicode"/>
          <w:color w:val="000000"/>
          <w:lang w:eastAsia="en-US" w:bidi="en-US"/>
        </w:rPr>
        <w:t>0</w:t>
      </w:r>
      <w:r w:rsidR="001D463A" w:rsidRPr="00A941AC">
        <w:rPr>
          <w:rFonts w:eastAsia="Lucida Sans Unicode"/>
          <w:color w:val="000000"/>
          <w:lang w:eastAsia="en-US" w:bidi="en-US"/>
        </w:rPr>
        <w:t xml:space="preserve"> punktów, 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4) </w:t>
      </w:r>
      <w:r w:rsidRPr="00A941AC">
        <w:rPr>
          <w:rFonts w:eastAsia="Lucida Sans Unicode"/>
          <w:color w:val="000000"/>
          <w:lang w:eastAsia="en-US" w:bidi="en-US"/>
        </w:rPr>
        <w:t xml:space="preserve">udział środków finansowych  własnych  albo  pozyskanych  z   innych   źródeł  na realizację zadania do </w:t>
      </w:r>
      <w:r>
        <w:rPr>
          <w:rFonts w:eastAsia="Lucida Sans Unicode"/>
          <w:color w:val="000000"/>
          <w:lang w:eastAsia="en-US" w:bidi="en-US"/>
        </w:rPr>
        <w:t>10</w:t>
      </w:r>
      <w:r w:rsidRPr="00A941AC">
        <w:rPr>
          <w:rFonts w:eastAsia="Lucida Sans Unicode"/>
          <w:color w:val="000000"/>
          <w:lang w:eastAsia="en-US" w:bidi="en-US"/>
        </w:rPr>
        <w:t xml:space="preserve"> punktów,</w:t>
      </w:r>
    </w:p>
    <w:p w:rsidR="00A941AC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5) </w:t>
      </w:r>
      <w:r w:rsidRPr="00A941AC">
        <w:rPr>
          <w:rFonts w:eastAsia="Lucida Sans Unicode"/>
          <w:color w:val="000000"/>
          <w:lang w:eastAsia="en-US" w:bidi="en-US"/>
        </w:rPr>
        <w:t>wkład rzeczowy, osobowy, w tym świadczenia wolontariuszy i pracę społeczną członków do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A941AC">
        <w:rPr>
          <w:rFonts w:eastAsia="Lucida Sans Unicode"/>
          <w:color w:val="000000"/>
          <w:lang w:eastAsia="en-US" w:bidi="en-US"/>
        </w:rPr>
        <w:t>5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A941AC">
        <w:rPr>
          <w:rFonts w:eastAsia="Lucida Sans Unicode"/>
          <w:color w:val="000000"/>
          <w:lang w:eastAsia="en-US" w:bidi="en-US"/>
        </w:rPr>
        <w:t>punktów,</w:t>
      </w:r>
    </w:p>
    <w:p w:rsidR="00A941AC" w:rsidRPr="00E17E33" w:rsidRDefault="00A941AC" w:rsidP="00A941AC">
      <w:pPr>
        <w:autoSpaceDE w:val="0"/>
        <w:ind w:left="-15" w:hanging="15"/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6) </w:t>
      </w:r>
      <w:r w:rsidRPr="002A469C">
        <w:rPr>
          <w:rFonts w:eastAsia="Lucida Sans Unicode"/>
          <w:color w:val="000000"/>
          <w:lang w:eastAsia="en-US" w:bidi="en-US"/>
        </w:rPr>
        <w:t>realizacje zleconych zadań publicznych w przypadku podmiotów uprawnionych, które</w:t>
      </w:r>
      <w:r>
        <w:rPr>
          <w:rFonts w:eastAsia="Lucida Sans Unicode"/>
          <w:color w:val="000000"/>
          <w:lang w:eastAsia="en-US" w:bidi="en-US"/>
        </w:rPr>
        <w:t xml:space="preserve"> </w:t>
      </w:r>
      <w:r w:rsidRPr="00915CF4">
        <w:rPr>
          <w:rFonts w:eastAsia="Lucida Sans Unicode"/>
          <w:color w:val="000000"/>
          <w:lang w:eastAsia="en-US" w:bidi="en-US"/>
        </w:rPr>
        <w:t>w latach poprzednich realizowały zlecone zadanie publiczne biorąc pod uwagę  rzetelność, terminowość oraz</w:t>
      </w:r>
      <w:r w:rsidR="00C62F5F">
        <w:rPr>
          <w:rFonts w:eastAsia="Lucida Sans Unicode"/>
          <w:color w:val="000000"/>
          <w:lang w:eastAsia="en-US" w:bidi="en-US"/>
        </w:rPr>
        <w:t> </w:t>
      </w:r>
      <w:r w:rsidRPr="00915CF4">
        <w:rPr>
          <w:rFonts w:eastAsia="Lucida Sans Unicode"/>
          <w:color w:val="000000"/>
          <w:lang w:eastAsia="en-US" w:bidi="en-US"/>
        </w:rPr>
        <w:t xml:space="preserve">sposób rozliczenia otrzymanych środków do </w:t>
      </w:r>
      <w:r>
        <w:rPr>
          <w:rFonts w:eastAsia="Lucida Sans Unicode"/>
          <w:color w:val="000000"/>
          <w:lang w:eastAsia="en-US" w:bidi="en-US"/>
        </w:rPr>
        <w:t>5</w:t>
      </w:r>
      <w:r w:rsidRPr="00915CF4">
        <w:rPr>
          <w:rFonts w:eastAsia="Lucida Sans Unicode"/>
          <w:color w:val="000000"/>
          <w:lang w:eastAsia="en-US" w:bidi="en-US"/>
        </w:rPr>
        <w:t xml:space="preserve"> </w:t>
      </w:r>
      <w:r w:rsidRPr="00E17E33">
        <w:rPr>
          <w:rFonts w:eastAsia="Lucida Sans Unicode"/>
          <w:color w:val="000000"/>
          <w:lang w:eastAsia="en-US" w:bidi="en-US"/>
        </w:rPr>
        <w:t xml:space="preserve">punktów. </w:t>
      </w:r>
    </w:p>
    <w:p w:rsidR="00A941AC" w:rsidRDefault="00A941AC" w:rsidP="00A941AC">
      <w:pPr>
        <w:jc w:val="both"/>
        <w:rPr>
          <w:rFonts w:eastAsia="Lucida Sans Unicode"/>
          <w:color w:val="000000"/>
          <w:lang w:eastAsia="en-US" w:bidi="en-US"/>
        </w:rPr>
      </w:pP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</w:t>
      </w:r>
      <w:r w:rsidR="00316076">
        <w:rPr>
          <w:rFonts w:eastAsia="Times New Roman"/>
          <w:lang w:eastAsia="en-US" w:bidi="en-US"/>
        </w:rPr>
        <w:lastRenderedPageBreak/>
        <w:t xml:space="preserve">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845589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A437A4" w:rsidRDefault="00A437A4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</w:t>
      </w:r>
      <w:r w:rsidR="008B2E5A">
        <w:rPr>
          <w:rFonts w:eastAsia="Times New Roman"/>
          <w:b/>
          <w:bCs/>
        </w:rPr>
        <w:t xml:space="preserve">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2022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pn. „Zdrowie na wyspach”.</w:t>
      </w: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</w:r>
      <w:r w:rsidR="00A417D3">
        <w:rPr>
          <w:rFonts w:eastAsia="Times New Roman"/>
        </w:rPr>
        <w:t>3</w:t>
      </w:r>
      <w:r w:rsidR="00C93E1F">
        <w:rPr>
          <w:rFonts w:eastAsia="Times New Roman"/>
        </w:rPr>
        <w:t>………………………………</w:t>
      </w:r>
    </w:p>
    <w:p w:rsidR="00C93E1F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2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C93E1F"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A417D3" w:rsidRDefault="00A417D3" w:rsidP="00964D40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A417D3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 w:rsidR="001831EA">
        <w:rPr>
          <w:rFonts w:eastAsia="Times New Roman"/>
        </w:rPr>
        <w:t xml:space="preserve"> r.</w:t>
      </w: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542FC3" w:rsidRDefault="00377CA3" w:rsidP="00542FC3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5140C9">
        <w:rPr>
          <w:rFonts w:eastAsia="Times New Roman"/>
          <w:b/>
          <w:bCs/>
        </w:rPr>
        <w:t xml:space="preserve"> zadania: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2022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pn. „Zdrowie na wyspach”</w:t>
      </w:r>
      <w:r w:rsidR="00B870AF">
        <w:rPr>
          <w:kern w:val="1"/>
          <w:lang w:eastAsia="ar-SA"/>
        </w:rPr>
        <w:t>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A437A4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udział środków finansowych  własnych  albo  pozyskanych  z   innych   źródeł  na realizację zadania do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</w:t>
            </w:r>
            <w:r w:rsidR="00114227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wkład rzeczowy, osobowy, w tym świadczenia wolontariuszy i pracę społeczną członków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 w:rsidP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A437A4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A437A4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  <w:lang w:eastAsia="en-US" w:bidi="en-US"/>
              </w:rPr>
            </w:pPr>
            <w:r w:rsidRPr="002A469C">
              <w:rPr>
                <w:rFonts w:eastAsia="Lucida Sans Unicode"/>
                <w:color w:val="000000"/>
                <w:lang w:eastAsia="en-US" w:bidi="en-US"/>
              </w:rPr>
              <w:t>realizacje zleconych zadań publicznych w przypadku podmiotów uprawnionych, które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w latach poprzednich realizowały zlecone zadanie publiczne biorąc pod uwagę  rzetelność, terminowość oraz</w:t>
            </w:r>
            <w:r>
              <w:rPr>
                <w:rFonts w:eastAsia="Lucida Sans Unicode"/>
                <w:color w:val="000000"/>
                <w:lang w:eastAsia="en-US" w:bidi="en-US"/>
              </w:rPr>
              <w:t> 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sposób rozliczenia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A437A4">
            <w:pPr>
              <w:autoSpaceDE w:val="0"/>
              <w:snapToGrid w:val="0"/>
              <w:rPr>
                <w:rFonts w:eastAsia="Times New Roman"/>
              </w:rPr>
            </w:pP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do </w:t>
            </w: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E17E33">
              <w:rPr>
                <w:rFonts w:eastAsia="Lucida Sans Unicode"/>
                <w:color w:val="000000"/>
                <w:lang w:eastAsia="en-US" w:bidi="en-US"/>
              </w:rPr>
              <w:t>p</w:t>
            </w:r>
            <w:r>
              <w:rPr>
                <w:rFonts w:eastAsia="Lucida Sans Unicode"/>
                <w:color w:val="000000"/>
                <w:lang w:eastAsia="en-US" w:bidi="en-US"/>
              </w:rPr>
              <w:t>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A4" w:rsidRDefault="00A437A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DA0FED">
        <w:rPr>
          <w:rFonts w:eastAsia="Times New Roman"/>
          <w:lang w:eastAsia="en-US" w:bidi="en-US"/>
        </w:rPr>
        <w:t>..........................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B870AF">
        <w:rPr>
          <w:kern w:val="1"/>
          <w:lang w:eastAsia="ar-SA"/>
        </w:rPr>
        <w:t xml:space="preserve">opracowanie i </w:t>
      </w:r>
      <w:r w:rsidR="00B870AF" w:rsidRPr="00BD7973">
        <w:rPr>
          <w:kern w:val="1"/>
          <w:lang w:eastAsia="ar-SA"/>
        </w:rPr>
        <w:t xml:space="preserve">wykonanie </w:t>
      </w:r>
      <w:r w:rsidR="00B870AF">
        <w:rPr>
          <w:kern w:val="1"/>
          <w:lang w:eastAsia="ar-SA"/>
        </w:rPr>
        <w:t>w 2022 roku</w:t>
      </w:r>
      <w:r w:rsidR="00B870AF" w:rsidRPr="00BD7973">
        <w:rPr>
          <w:kern w:val="1"/>
          <w:lang w:eastAsia="ar-SA"/>
        </w:rPr>
        <w:t xml:space="preserve"> </w:t>
      </w:r>
      <w:r w:rsidR="00B870AF">
        <w:rPr>
          <w:kern w:val="1"/>
          <w:lang w:eastAsia="ar-SA"/>
        </w:rPr>
        <w:t>zadania</w:t>
      </w:r>
      <w:r w:rsidR="00B870AF" w:rsidRPr="00BD7973">
        <w:rPr>
          <w:kern w:val="1"/>
          <w:lang w:eastAsia="ar-SA"/>
        </w:rPr>
        <w:t xml:space="preserve"> z</w:t>
      </w:r>
      <w:r w:rsidR="00B870AF">
        <w:rPr>
          <w:kern w:val="1"/>
          <w:lang w:eastAsia="ar-SA"/>
        </w:rPr>
        <w:t> </w:t>
      </w:r>
      <w:r w:rsidR="00B870AF" w:rsidRPr="00BD7973">
        <w:rPr>
          <w:kern w:val="1"/>
          <w:lang w:eastAsia="ar-SA"/>
        </w:rPr>
        <w:t>zakresu zdrowia publicznego</w:t>
      </w:r>
      <w:r w:rsidR="00B870AF">
        <w:rPr>
          <w:kern w:val="1"/>
          <w:lang w:eastAsia="ar-SA"/>
        </w:rPr>
        <w:t xml:space="preserve"> pn. „Zdrowie na wyspach”.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1500"/>
        <w:gridCol w:w="1559"/>
        <w:gridCol w:w="1701"/>
        <w:gridCol w:w="165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F72BDE" w:rsidTr="00F72BDE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1A8D3920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1AC8"/>
    <w:rsid w:val="00025603"/>
    <w:rsid w:val="0005402F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5DB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35CCC"/>
    <w:rsid w:val="004539E8"/>
    <w:rsid w:val="0047400E"/>
    <w:rsid w:val="00482E61"/>
    <w:rsid w:val="004E11DF"/>
    <w:rsid w:val="004E5394"/>
    <w:rsid w:val="004F1A6D"/>
    <w:rsid w:val="005062A3"/>
    <w:rsid w:val="005140C9"/>
    <w:rsid w:val="00516B84"/>
    <w:rsid w:val="005323E1"/>
    <w:rsid w:val="00542FC3"/>
    <w:rsid w:val="005512D3"/>
    <w:rsid w:val="00557088"/>
    <w:rsid w:val="005752A3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7C10A5"/>
    <w:rsid w:val="00812FFE"/>
    <w:rsid w:val="00815449"/>
    <w:rsid w:val="00827143"/>
    <w:rsid w:val="0084089F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64D40"/>
    <w:rsid w:val="009659DF"/>
    <w:rsid w:val="009743F4"/>
    <w:rsid w:val="00975433"/>
    <w:rsid w:val="009B4907"/>
    <w:rsid w:val="009B508D"/>
    <w:rsid w:val="009C3591"/>
    <w:rsid w:val="009C5201"/>
    <w:rsid w:val="009D41EF"/>
    <w:rsid w:val="009F716F"/>
    <w:rsid w:val="00A06AE4"/>
    <w:rsid w:val="00A417D3"/>
    <w:rsid w:val="00A437A4"/>
    <w:rsid w:val="00A652DB"/>
    <w:rsid w:val="00A941AC"/>
    <w:rsid w:val="00AA1BD3"/>
    <w:rsid w:val="00AB661A"/>
    <w:rsid w:val="00AD1588"/>
    <w:rsid w:val="00AD5786"/>
    <w:rsid w:val="00B25655"/>
    <w:rsid w:val="00B31904"/>
    <w:rsid w:val="00B62D38"/>
    <w:rsid w:val="00B7265C"/>
    <w:rsid w:val="00B80657"/>
    <w:rsid w:val="00B80F4C"/>
    <w:rsid w:val="00B82F9B"/>
    <w:rsid w:val="00B870AF"/>
    <w:rsid w:val="00BA6E85"/>
    <w:rsid w:val="00BB0918"/>
    <w:rsid w:val="00BB2EBE"/>
    <w:rsid w:val="00BB4ADF"/>
    <w:rsid w:val="00BB623D"/>
    <w:rsid w:val="00C128F3"/>
    <w:rsid w:val="00C12A0F"/>
    <w:rsid w:val="00C27F75"/>
    <w:rsid w:val="00C32897"/>
    <w:rsid w:val="00C333AB"/>
    <w:rsid w:val="00C62F5F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35877"/>
    <w:rsid w:val="00D70C8D"/>
    <w:rsid w:val="00DA0FED"/>
    <w:rsid w:val="00DB1136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8726D"/>
    <w:rsid w:val="00E910D1"/>
    <w:rsid w:val="00EA476A"/>
    <w:rsid w:val="00EE262B"/>
    <w:rsid w:val="00EF252A"/>
    <w:rsid w:val="00F2059E"/>
    <w:rsid w:val="00F247F4"/>
    <w:rsid w:val="00F545A0"/>
    <w:rsid w:val="00F55654"/>
    <w:rsid w:val="00F62D8F"/>
    <w:rsid w:val="00F6715A"/>
    <w:rsid w:val="00F72923"/>
    <w:rsid w:val="00F72BDE"/>
    <w:rsid w:val="00F74CE1"/>
    <w:rsid w:val="00F74DD8"/>
    <w:rsid w:val="00FA5FA2"/>
    <w:rsid w:val="00FE2DE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43EE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B802-7723-42C8-9490-7530147B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131</cp:revision>
  <cp:lastPrinted>2022-02-04T12:39:00Z</cp:lastPrinted>
  <dcterms:created xsi:type="dcterms:W3CDTF">2020-01-13T13:29:00Z</dcterms:created>
  <dcterms:modified xsi:type="dcterms:W3CDTF">2022-02-04T12:40:00Z</dcterms:modified>
</cp:coreProperties>
</file>