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F1" w:rsidRPr="00A80674" w:rsidRDefault="005405F1" w:rsidP="005405F1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</w:t>
      </w:r>
      <w:r w:rsidR="00FE0674">
        <w:rPr>
          <w:b w:val="0"/>
          <w:sz w:val="16"/>
          <w:szCs w:val="16"/>
        </w:rPr>
        <w:t xml:space="preserve">                                 </w:t>
      </w:r>
      <w:r>
        <w:rPr>
          <w:b w:val="0"/>
          <w:sz w:val="16"/>
          <w:szCs w:val="16"/>
        </w:rPr>
        <w:t>Załącznik Nr 2</w:t>
      </w:r>
      <w:r w:rsidRPr="00A80674">
        <w:rPr>
          <w:b w:val="0"/>
          <w:sz w:val="16"/>
          <w:szCs w:val="16"/>
        </w:rPr>
        <w:t xml:space="preserve"> do Zarządzenia Nr </w:t>
      </w:r>
      <w:r w:rsidR="002902D2">
        <w:rPr>
          <w:b w:val="0"/>
          <w:sz w:val="16"/>
          <w:szCs w:val="16"/>
        </w:rPr>
        <w:t>154</w:t>
      </w:r>
      <w:r w:rsidR="00CE7F95">
        <w:rPr>
          <w:b w:val="0"/>
          <w:sz w:val="16"/>
          <w:szCs w:val="16"/>
        </w:rPr>
        <w:t>/2025</w:t>
      </w:r>
    </w:p>
    <w:p w:rsidR="005405F1" w:rsidRPr="00A80674" w:rsidRDefault="005405F1" w:rsidP="005405F1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5405F1" w:rsidRPr="00A80674" w:rsidRDefault="005405F1" w:rsidP="005405F1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z </w:t>
      </w:r>
      <w:r w:rsidR="002902D2">
        <w:rPr>
          <w:sz w:val="16"/>
          <w:szCs w:val="16"/>
        </w:rPr>
        <w:t>dnia 12 marc</w:t>
      </w:r>
      <w:r w:rsidR="00E059C4">
        <w:rPr>
          <w:sz w:val="16"/>
          <w:szCs w:val="16"/>
        </w:rPr>
        <w:t>a</w:t>
      </w:r>
      <w:r w:rsidR="00FE0674">
        <w:rPr>
          <w:sz w:val="16"/>
          <w:szCs w:val="16"/>
        </w:rPr>
        <w:t xml:space="preserve"> </w:t>
      </w:r>
      <w:r w:rsidR="00CE7F95">
        <w:rPr>
          <w:sz w:val="16"/>
          <w:szCs w:val="16"/>
        </w:rPr>
        <w:t>2025</w:t>
      </w:r>
      <w:r w:rsidRPr="00A80674">
        <w:rPr>
          <w:sz w:val="16"/>
          <w:szCs w:val="16"/>
        </w:rPr>
        <w:t xml:space="preserve"> r.</w:t>
      </w:r>
    </w:p>
    <w:p w:rsidR="004A651D" w:rsidRDefault="004A651D"/>
    <w:p w:rsidR="004A651D" w:rsidRDefault="004A651D" w:rsidP="004A651D">
      <w:pPr>
        <w:pStyle w:val="Tytu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UMOWA  DZIERŻAWY nr ............ (projekt)</w:t>
      </w:r>
    </w:p>
    <w:p w:rsidR="004A651D" w:rsidRPr="004A651D" w:rsidRDefault="004A651D" w:rsidP="004A651D">
      <w:pPr>
        <w:pStyle w:val="Podtytu"/>
        <w:rPr>
          <w:lang w:eastAsia="zh-CN" w:bidi="hi-IN"/>
        </w:rPr>
      </w:pPr>
    </w:p>
    <w:p w:rsidR="004A651D" w:rsidRDefault="00CE7F95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zawarta w dniu ..…………. 2025</w:t>
      </w:r>
      <w:r w:rsidR="004A651D">
        <w:rPr>
          <w:rFonts w:eastAsia="Times New Roman" w:cs="Times New Roman"/>
        </w:rPr>
        <w:t xml:space="preserve"> r. pomiędzy: </w:t>
      </w:r>
    </w:p>
    <w:p w:rsidR="004A651D" w:rsidRDefault="004A651D" w:rsidP="004A651D">
      <w:pPr>
        <w:pStyle w:val="Standard"/>
        <w:jc w:val="both"/>
      </w:pPr>
      <w:r w:rsidRPr="00840E26">
        <w:rPr>
          <w:rFonts w:eastAsia="Times New Roman" w:cs="Times New Roman"/>
          <w:b/>
        </w:rPr>
        <w:t>Gminą Miasto Świnoujście</w:t>
      </w:r>
      <w:r>
        <w:rPr>
          <w:rFonts w:eastAsia="Times New Roman" w:cs="Times New Roman"/>
        </w:rPr>
        <w:t xml:space="preserve"> reprezentowaną przez Prezydenta Miasta </w:t>
      </w:r>
      <w:r w:rsidR="005F197A">
        <w:rPr>
          <w:rFonts w:eastAsia="Times New Roman" w:cs="Times New Roman"/>
        </w:rPr>
        <w:t>Świnoujście mgr</w:t>
      </w:r>
      <w:r>
        <w:rPr>
          <w:rFonts w:eastAsia="Times New Roman" w:cs="Times New Roman"/>
        </w:rPr>
        <w:t xml:space="preserve"> Joannę Agatowską, ulica Wojska Polskiego 1/5, zwaną dalej </w:t>
      </w:r>
      <w:r w:rsidRPr="00BA65E6">
        <w:rPr>
          <w:rFonts w:eastAsia="Times New Roman" w:cs="Times New Roman"/>
          <w:b/>
        </w:rPr>
        <w:t>„</w:t>
      </w:r>
      <w:r>
        <w:rPr>
          <w:rFonts w:eastAsia="Times New Roman" w:cs="Times New Roman"/>
          <w:b/>
        </w:rPr>
        <w:t>Wydzierżawiającym”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Panią/Panem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651D" w:rsidRPr="00047668" w:rsidRDefault="004A651D" w:rsidP="004A651D">
      <w:pPr>
        <w:pStyle w:val="Standard"/>
        <w:jc w:val="both"/>
      </w:pPr>
      <w:r>
        <w:rPr>
          <w:rFonts w:eastAsia="Times New Roman" w:cs="Times New Roman"/>
        </w:rPr>
        <w:t xml:space="preserve">zwaną/ym dalej </w:t>
      </w:r>
      <w:r>
        <w:rPr>
          <w:rFonts w:eastAsia="Times New Roman" w:cs="Times New Roman"/>
          <w:b/>
        </w:rPr>
        <w:t>„Dzierżawcą”,</w:t>
      </w:r>
      <w:r w:rsidR="00047668">
        <w:rPr>
          <w:rFonts w:eastAsia="Times New Roman" w:cs="Times New Roman"/>
          <w:b/>
        </w:rPr>
        <w:t xml:space="preserve"> </w:t>
      </w:r>
      <w:r w:rsidR="00047668" w:rsidRPr="00047668">
        <w:rPr>
          <w:rFonts w:eastAsia="Times New Roman" w:cs="Times New Roman"/>
        </w:rPr>
        <w:t>wyłonionym w wyniku postępowania przetargowego</w:t>
      </w:r>
      <w:r w:rsidR="00047668">
        <w:rPr>
          <w:rFonts w:eastAsia="Times New Roman" w:cs="Times New Roman"/>
        </w:rPr>
        <w:t xml:space="preserve"> z dnia </w:t>
      </w:r>
      <w:r w:rsidR="00047668">
        <w:rPr>
          <w:rFonts w:eastAsia="Times New Roman" w:cs="Times New Roman"/>
        </w:rPr>
        <w:br/>
        <w:t>11 października 2024r.</w:t>
      </w:r>
      <w:r w:rsidR="00047668">
        <w:t xml:space="preserve">, </w:t>
      </w:r>
      <w:r w:rsidR="00E16584">
        <w:rPr>
          <w:rFonts w:eastAsia="Times New Roman" w:cs="Times New Roman"/>
        </w:rPr>
        <w:t>o następującej treści</w:t>
      </w:r>
      <w:r>
        <w:rPr>
          <w:rFonts w:eastAsia="Times New Roman" w:cs="Times New Roman"/>
        </w:rPr>
        <w:t>: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1</w:t>
      </w:r>
    </w:p>
    <w:p w:rsidR="003472D0" w:rsidRDefault="003472D0" w:rsidP="003472D0">
      <w:pPr>
        <w:jc w:val="both"/>
      </w:pPr>
      <w:r>
        <w:t>1. Wydzierżawiający oddaje Dzierżawcy w dzierżawę nieruchomość</w:t>
      </w:r>
      <w:r>
        <w:rPr>
          <w:b/>
        </w:rPr>
        <w:t>,</w:t>
      </w:r>
      <w:r>
        <w:t xml:space="preserve"> zabudowaną tymczasowym pawilonem handlowy</w:t>
      </w:r>
      <w:r w:rsidRPr="006859A1">
        <w:t>m</w:t>
      </w:r>
      <w:r>
        <w:t xml:space="preserve"> o pow. zabudowy .......m</w:t>
      </w:r>
      <w:r>
        <w:rPr>
          <w:vertAlign w:val="superscript"/>
        </w:rPr>
        <w:t>2</w:t>
      </w:r>
      <w:r w:rsidRPr="006859A1">
        <w:t>,</w:t>
      </w:r>
      <w:r>
        <w:rPr>
          <w:b/>
        </w:rPr>
        <w:t xml:space="preserve"> </w:t>
      </w:r>
      <w:r>
        <w:t xml:space="preserve">położoną w Świnoujściu, przy ul. Chodorowskiej/ Wojska Polskiego, stanowiącą część działki gruntu nr ......, obręb ......., </w:t>
      </w:r>
      <w:r>
        <w:br/>
        <w:t>KW nr ...................... – zgodnie z załącznikiem graficznym do niniejszej umowy.</w:t>
      </w:r>
    </w:p>
    <w:p w:rsidR="004A651D" w:rsidRDefault="004A651D" w:rsidP="004A651D">
      <w:pPr>
        <w:pStyle w:val="Textbodyindent"/>
      </w:pPr>
      <w:r>
        <w:rPr>
          <w:rFonts w:eastAsia="Times New Roman" w:cs="Times New Roman"/>
        </w:rPr>
        <w:t xml:space="preserve">2. Umowa dzierżawy zawarta na </w:t>
      </w:r>
      <w:r>
        <w:rPr>
          <w:rFonts w:eastAsia="Times New Roman" w:cs="Times New Roman"/>
          <w:b/>
          <w:bCs/>
        </w:rPr>
        <w:t>czas nieoznaczony,</w:t>
      </w:r>
      <w:r>
        <w:rPr>
          <w:rFonts w:eastAsia="Times New Roman" w:cs="Times New Roman"/>
        </w:rPr>
        <w:t xml:space="preserve"> począwszy </w:t>
      </w:r>
      <w:r w:rsidR="00CE7F95">
        <w:rPr>
          <w:rFonts w:eastAsia="Times New Roman" w:cs="Times New Roman"/>
          <w:b/>
          <w:bCs/>
        </w:rPr>
        <w:t>od dnia 15</w:t>
      </w:r>
      <w:r w:rsidR="002902D2">
        <w:rPr>
          <w:rFonts w:eastAsia="Times New Roman" w:cs="Times New Roman"/>
          <w:b/>
          <w:bCs/>
        </w:rPr>
        <w:t xml:space="preserve"> maja</w:t>
      </w:r>
      <w:r w:rsidR="00CE7F95">
        <w:rPr>
          <w:rFonts w:eastAsia="Times New Roman" w:cs="Times New Roman"/>
          <w:b/>
          <w:bCs/>
        </w:rPr>
        <w:t xml:space="preserve"> 2025</w:t>
      </w:r>
      <w:r>
        <w:rPr>
          <w:rFonts w:eastAsia="Times New Roman" w:cs="Times New Roman"/>
          <w:b/>
          <w:bCs/>
        </w:rPr>
        <w:t xml:space="preserve"> r.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2</w:t>
      </w:r>
    </w:p>
    <w:p w:rsidR="004A651D" w:rsidRDefault="00B47DC0" w:rsidP="00B47DC0">
      <w:pPr>
        <w:pStyle w:val="Tekstpodstawowywcity"/>
        <w:spacing w:after="0"/>
        <w:ind w:left="0"/>
        <w:jc w:val="both"/>
      </w:pPr>
      <w:r>
        <w:t xml:space="preserve">1. </w:t>
      </w:r>
      <w:r w:rsidR="003472D0">
        <w:t xml:space="preserve">Dzierżawiona nieruchomość przeznaczona </w:t>
      </w:r>
      <w:r w:rsidR="003472D0" w:rsidRPr="00132169">
        <w:t>jest na</w:t>
      </w:r>
      <w:r w:rsidR="003472D0">
        <w:t xml:space="preserve"> </w:t>
      </w:r>
      <w:r w:rsidR="003472D0" w:rsidRPr="00DB1202">
        <w:t xml:space="preserve">działalność handlową </w:t>
      </w:r>
      <w:r>
        <w:br/>
      </w:r>
      <w:r w:rsidR="003472D0" w:rsidRPr="00DB1202">
        <w:t>w t</w:t>
      </w:r>
      <w:r w:rsidR="003472D0">
        <w:t>ymczasowym pawilonie handlowym, który stanowi własność Gminy Miasto Świnoujście.</w:t>
      </w:r>
    </w:p>
    <w:p w:rsidR="004A651D" w:rsidRDefault="004A651D" w:rsidP="004A651D">
      <w:pPr>
        <w:pStyle w:val="Tekstpodstawowy31"/>
        <w:numPr>
          <w:ilvl w:val="0"/>
          <w:numId w:val="1"/>
        </w:numPr>
        <w:tabs>
          <w:tab w:val="left" w:pos="284"/>
        </w:tabs>
        <w:spacing w:after="0"/>
        <w:jc w:val="both"/>
        <w:rPr>
          <w:sz w:val="24"/>
        </w:rPr>
      </w:pPr>
      <w:r>
        <w:rPr>
          <w:sz w:val="24"/>
        </w:rPr>
        <w:t>Prowadzenie jakichkolwiek prac o charakterze budowlanym wymaga uzyskania właściwych zgód wymaganych przepisami prawa budowlanego oraz w uzgodnieniu z Wydzierżawiającym.</w:t>
      </w:r>
    </w:p>
    <w:p w:rsidR="004A651D" w:rsidRDefault="004A651D" w:rsidP="004A651D">
      <w:pPr>
        <w:pStyle w:val="Tekstpodstawowy31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Dzierżawca oświadcza, że prowadzi działalność na własny rachunek i ryzyko i w związku </w:t>
      </w:r>
      <w:r>
        <w:rPr>
          <w:rFonts w:eastAsia="Times New Roman" w:cs="Times New Roman"/>
          <w:sz w:val="24"/>
        </w:rPr>
        <w:br/>
        <w:t>z tym zobowiązany jest do uzyskania wszelkich innych zgód przewidzianych przepisami prawa.</w:t>
      </w:r>
    </w:p>
    <w:p w:rsidR="004A651D" w:rsidRDefault="004A651D" w:rsidP="004A651D">
      <w:pPr>
        <w:pStyle w:val="Standard"/>
        <w:numPr>
          <w:ilvl w:val="0"/>
          <w:numId w:val="1"/>
        </w:numPr>
        <w:tabs>
          <w:tab w:val="left" w:pos="28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Szkic graficzny określający przedmiot umowy opisany w § 1 stanowi załącznik do niniejszej umowy.</w:t>
      </w:r>
    </w:p>
    <w:p w:rsidR="00DD0764" w:rsidRDefault="00DD0764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3</w:t>
      </w:r>
    </w:p>
    <w:p w:rsidR="004A651D" w:rsidRDefault="004A651D" w:rsidP="004A651D">
      <w:pPr>
        <w:pStyle w:val="Standard"/>
        <w:numPr>
          <w:ilvl w:val="0"/>
          <w:numId w:val="6"/>
        </w:numPr>
        <w:tabs>
          <w:tab w:val="left" w:pos="284"/>
        </w:tabs>
        <w:jc w:val="both"/>
      </w:pPr>
      <w:r>
        <w:t>Dzierżawca oświadcza, że przedmiot dzierżawy i jego stan są mu dokładnie znane i zrzeka się wszelkich roszczeń z tytułu wad fizycznych przedmiotu dzierżawy mogących ujawnić się w przyszłości .</w:t>
      </w:r>
    </w:p>
    <w:p w:rsidR="004A651D" w:rsidRDefault="004A651D" w:rsidP="004A651D">
      <w:pPr>
        <w:pStyle w:val="Standard"/>
        <w:numPr>
          <w:ilvl w:val="0"/>
          <w:numId w:val="2"/>
        </w:numPr>
        <w:tabs>
          <w:tab w:val="left" w:pos="284"/>
        </w:tabs>
        <w:jc w:val="both"/>
      </w:pPr>
      <w:r>
        <w:t>Dzierżawca nie ma prawa przelewać uprawnień wynikających z niniejszej umowy na rzecz osób trzecich ani poddzierżawiać przedmiotu umowy pod rygorem natychmiastowego rozwiązania umowy bez wypowiedzenia.</w:t>
      </w:r>
    </w:p>
    <w:p w:rsidR="004A651D" w:rsidRDefault="004A651D" w:rsidP="004A651D">
      <w:pPr>
        <w:pStyle w:val="Textbody"/>
        <w:numPr>
          <w:ilvl w:val="0"/>
          <w:numId w:val="2"/>
        </w:numPr>
        <w:tabs>
          <w:tab w:val="left" w:pos="142"/>
          <w:tab w:val="left" w:pos="28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Przekazanie przedmiotu dzierżawy określonego w § 1 nastąpi protokołem zdawczo – odbiorczym</w:t>
      </w:r>
      <w:r w:rsidR="00EC46CE">
        <w:rPr>
          <w:rFonts w:eastAsia="Times New Roman" w:cs="Times New Roman"/>
        </w:rPr>
        <w:t xml:space="preserve"> w terminie 7 dni od daty podpisania niniejszej umowy,</w:t>
      </w:r>
      <w:r>
        <w:rPr>
          <w:rFonts w:eastAsia="Times New Roman" w:cs="Times New Roman"/>
        </w:rPr>
        <w:t xml:space="preserve"> i w związku z tym, od dnia podpisania protokołu przekazania stoiska Dzierżawca ponosi wszelką odpowiedzialność za utrzymanie przedmiotowego stoiska w prawidłowym stanie technicznym.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4</w:t>
      </w:r>
    </w:p>
    <w:p w:rsidR="004A651D" w:rsidRDefault="004A651D" w:rsidP="004A651D">
      <w:pPr>
        <w:tabs>
          <w:tab w:val="left" w:pos="360"/>
        </w:tabs>
        <w:jc w:val="both"/>
      </w:pPr>
      <w:r>
        <w:t>1. Dzierżawca zobowiązany jest płacić Wydzierżawiającemu miesięczny czynsz, zgodnie z  postępowaniem przetargowym w wysokości:</w:t>
      </w:r>
    </w:p>
    <w:p w:rsidR="004A651D" w:rsidRPr="00840E26" w:rsidRDefault="00B47DC0" w:rsidP="004A651D">
      <w:pPr>
        <w:jc w:val="both"/>
        <w:rPr>
          <w:b/>
        </w:rPr>
      </w:pPr>
      <w:r>
        <w:rPr>
          <w:b/>
        </w:rPr>
        <w:t>..........</w:t>
      </w:r>
      <w:r w:rsidR="004A651D" w:rsidRPr="00840E26">
        <w:rPr>
          <w:b/>
        </w:rPr>
        <w:t xml:space="preserve"> m</w:t>
      </w:r>
      <w:r w:rsidR="004A651D" w:rsidRPr="00840E26">
        <w:rPr>
          <w:b/>
          <w:vertAlign w:val="superscript"/>
        </w:rPr>
        <w:t>2</w:t>
      </w:r>
      <w:r w:rsidR="004A651D">
        <w:rPr>
          <w:b/>
        </w:rPr>
        <w:t xml:space="preserve"> x .......... </w:t>
      </w:r>
      <w:r w:rsidR="004A651D" w:rsidRPr="00840E26">
        <w:rPr>
          <w:b/>
        </w:rPr>
        <w:t xml:space="preserve">zł netto za 1m² </w:t>
      </w:r>
      <w:r w:rsidR="004A651D">
        <w:rPr>
          <w:b/>
        </w:rPr>
        <w:t>= ........</w:t>
      </w:r>
      <w:r w:rsidR="004A651D" w:rsidRPr="00840E26">
        <w:rPr>
          <w:b/>
        </w:rPr>
        <w:t xml:space="preserve"> zł netto + 23 % VAT tj</w:t>
      </w:r>
      <w:r w:rsidR="004A651D">
        <w:rPr>
          <w:b/>
        </w:rPr>
        <w:t>. ......... zł = ..........</w:t>
      </w:r>
      <w:r w:rsidR="004A651D" w:rsidRPr="00840E26">
        <w:rPr>
          <w:b/>
        </w:rPr>
        <w:t xml:space="preserve"> zł brutto miesięcznie. </w:t>
      </w:r>
    </w:p>
    <w:p w:rsidR="004A651D" w:rsidRDefault="004A651D" w:rsidP="004A651D">
      <w:pPr>
        <w:pStyle w:val="Standard"/>
        <w:jc w:val="both"/>
      </w:pPr>
      <w:r>
        <w:t xml:space="preserve">Czynsz płatny miesięcznie </w:t>
      </w:r>
      <w:r>
        <w:rPr>
          <w:b/>
        </w:rPr>
        <w:t>do dnia 10 każdego miesiąca</w:t>
      </w:r>
      <w:r>
        <w:t xml:space="preserve"> z góry na konto Urzędu Miasta:</w:t>
      </w:r>
    </w:p>
    <w:p w:rsidR="004A651D" w:rsidRDefault="004A651D" w:rsidP="004A651D">
      <w:pPr>
        <w:pStyle w:val="Tekstpodstawowy31"/>
        <w:jc w:val="both"/>
      </w:pPr>
      <w:r>
        <w:rPr>
          <w:sz w:val="24"/>
        </w:rPr>
        <w:t xml:space="preserve">Pekao S.A. w Świnoujściu, nr konta: </w:t>
      </w:r>
      <w:r w:rsidRPr="00DD0764">
        <w:rPr>
          <w:b/>
          <w:sz w:val="24"/>
        </w:rPr>
        <w:t>95 1240 3914 1111 0010 0965 0933.</w:t>
      </w:r>
      <w:r>
        <w:rPr>
          <w:rFonts w:eastAsia="Times New Roman" w:cs="Times New Roman"/>
        </w:rPr>
        <w:t xml:space="preserve"> </w:t>
      </w:r>
    </w:p>
    <w:p w:rsidR="004A651D" w:rsidRDefault="004A651D" w:rsidP="004A651D">
      <w:pPr>
        <w:pStyle w:val="Tekstpodstawowywcity21"/>
        <w:tabs>
          <w:tab w:val="left" w:pos="360"/>
        </w:tabs>
        <w:spacing w:after="0" w:line="100" w:lineRule="atLeast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W razie zwłoki z zapłatą czynszu dzierżawca jest zobowiązany zapłacić odsetki ustawowe za opóźnienie w transakcjach handlowych.</w:t>
      </w:r>
    </w:p>
    <w:p w:rsidR="00DD0764" w:rsidRDefault="004A651D" w:rsidP="00DD0764">
      <w:pPr>
        <w:pStyle w:val="Tekstpodstawowy31"/>
        <w:spacing w:after="0"/>
        <w:ind w:right="-15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3. Wyżej określona stawka miesięczna czynszu dzierżawnego nie podlega obniżce w czasie trwania umowy dzierżawy.</w:t>
      </w:r>
    </w:p>
    <w:p w:rsidR="00DD0764" w:rsidRDefault="00DD0764" w:rsidP="00DD0764">
      <w:pPr>
        <w:pStyle w:val="Tekstpodstawowy31"/>
        <w:spacing w:after="0"/>
        <w:ind w:right="-15"/>
        <w:jc w:val="both"/>
        <w:rPr>
          <w:sz w:val="24"/>
        </w:rPr>
      </w:pPr>
      <w:r>
        <w:rPr>
          <w:rFonts w:eastAsia="Times New Roman" w:cs="Times New Roman"/>
          <w:sz w:val="24"/>
        </w:rPr>
        <w:t xml:space="preserve">4. </w:t>
      </w:r>
      <w:r>
        <w:rPr>
          <w:sz w:val="24"/>
        </w:rPr>
        <w:t>Strony zgodnie ustaliły, że c</w:t>
      </w:r>
      <w:r w:rsidR="00782976">
        <w:rPr>
          <w:sz w:val="24"/>
        </w:rPr>
        <w:t>zynsz dzierżawny określony w ust. 1</w:t>
      </w:r>
      <w:r>
        <w:rPr>
          <w:sz w:val="24"/>
        </w:rPr>
        <w:t xml:space="preserve"> może ulegać corocznie podwyższeniu, w stopniu odpowiadającym wskaźnikowi cen towarów i usług konsumpcyjnych w okresie pierwszych trzech kwartałów roku poprzedzającego podwyższenie stawki w stosunku do analogicznego okresu roku ubiegłego lub o sumę tych wskaźników, jeżeli w kolejnych po sobie latach opłaty nie zostały zwaloryzowane. </w:t>
      </w:r>
      <w:r w:rsidR="00782976">
        <w:rPr>
          <w:sz w:val="24"/>
        </w:rPr>
        <w:t>Waloryzacja czynszu nie wymaga zawarcia aneksu do umowy. O wysokości dokonanej zmiany</w:t>
      </w:r>
      <w:r>
        <w:rPr>
          <w:sz w:val="24"/>
        </w:rPr>
        <w:t xml:space="preserve"> czynszu dzierżawnego Dzierżawca zostanie powiadomiony pisemnie</w:t>
      </w:r>
      <w:r w:rsidR="00782976">
        <w:rPr>
          <w:sz w:val="24"/>
        </w:rPr>
        <w:t xml:space="preserve"> w drodze jednostronnego oświ</w:t>
      </w:r>
      <w:r w:rsidR="00841F2B">
        <w:rPr>
          <w:sz w:val="24"/>
        </w:rPr>
        <w:t>a</w:t>
      </w:r>
      <w:r w:rsidR="00782976">
        <w:rPr>
          <w:sz w:val="24"/>
        </w:rPr>
        <w:t>dczenia,</w:t>
      </w:r>
      <w:r>
        <w:rPr>
          <w:sz w:val="24"/>
        </w:rPr>
        <w:t xml:space="preserve"> najpóźniej w terminie 14 dni przed zmianą tego czynszu dzierżawnego. </w:t>
      </w:r>
    </w:p>
    <w:p w:rsidR="00682590" w:rsidRPr="00682590" w:rsidRDefault="00682590" w:rsidP="00DD0764">
      <w:pPr>
        <w:pStyle w:val="Tekstpodstawowy31"/>
        <w:spacing w:after="0"/>
        <w:ind w:right="-15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5</w:t>
      </w:r>
      <w:r w:rsidRPr="00682590">
        <w:rPr>
          <w:rFonts w:eastAsia="Times New Roman" w:cs="Times New Roman"/>
          <w:sz w:val="24"/>
        </w:rPr>
        <w:t xml:space="preserve">. </w:t>
      </w:r>
      <w:r w:rsidRPr="00682590">
        <w:rPr>
          <w:sz w:val="24"/>
        </w:rPr>
        <w:t xml:space="preserve">W przypadku zmiany wysokości podatku VAT od czynszu dzierżawnego Dzierżawca zobowiązany będzie do płacenia czynszu określonego w ust. 1 zgodnie ze zmienioną stawką bez </w:t>
      </w:r>
      <w:r w:rsidRPr="00682590">
        <w:rPr>
          <w:rFonts w:eastAsia="Times New Roman" w:cs="Times New Roman"/>
          <w:sz w:val="24"/>
        </w:rPr>
        <w:t>konieczności zawierania</w:t>
      </w:r>
      <w:r>
        <w:rPr>
          <w:rFonts w:eastAsia="Times New Roman" w:cs="Times New Roman"/>
          <w:sz w:val="24"/>
        </w:rPr>
        <w:t xml:space="preserve"> aneksu do niniejszej umowy w tym zakresie.</w:t>
      </w:r>
    </w:p>
    <w:p w:rsidR="00682590" w:rsidRPr="00682590" w:rsidRDefault="00682590" w:rsidP="00682590">
      <w:pPr>
        <w:pStyle w:val="Tekstpodstawowy31"/>
        <w:spacing w:after="0"/>
        <w:ind w:right="-15"/>
        <w:jc w:val="both"/>
        <w:rPr>
          <w:sz w:val="24"/>
        </w:rPr>
      </w:pPr>
      <w:r>
        <w:rPr>
          <w:sz w:val="24"/>
        </w:rPr>
        <w:t>6</w:t>
      </w:r>
      <w:r w:rsidR="00DD0764" w:rsidRPr="00682590">
        <w:rPr>
          <w:sz w:val="24"/>
        </w:rPr>
        <w:t xml:space="preserve">. Odmowa akceptacji przez Dzierżawcę wysokości czynszu dzierżawnego stanowić będzie podstawę do wypowiedzenia umowy. </w:t>
      </w:r>
    </w:p>
    <w:p w:rsidR="00841F2B" w:rsidRPr="00682590" w:rsidRDefault="00682590" w:rsidP="00DD0764">
      <w:pPr>
        <w:pStyle w:val="Tekstpodstawowy31"/>
        <w:spacing w:after="0"/>
        <w:ind w:right="-15"/>
        <w:jc w:val="both"/>
        <w:rPr>
          <w:sz w:val="24"/>
        </w:rPr>
      </w:pPr>
      <w:r>
        <w:rPr>
          <w:sz w:val="24"/>
        </w:rPr>
        <w:t xml:space="preserve">7. </w:t>
      </w:r>
      <w:r w:rsidR="00841F2B" w:rsidRPr="00682590">
        <w:rPr>
          <w:sz w:val="24"/>
        </w:rPr>
        <w:t>Niezależnie od zmian</w:t>
      </w:r>
      <w:r w:rsidR="00EC46CE">
        <w:rPr>
          <w:sz w:val="24"/>
        </w:rPr>
        <w:t>,</w:t>
      </w:r>
      <w:r w:rsidR="00841F2B" w:rsidRPr="00682590">
        <w:rPr>
          <w:sz w:val="24"/>
        </w:rPr>
        <w:t xml:space="preserve"> o kt</w:t>
      </w:r>
      <w:r w:rsidR="00841F2B" w:rsidRPr="00682590">
        <w:rPr>
          <w:sz w:val="24"/>
          <w:lang w:val="es-ES_tradnl"/>
        </w:rPr>
        <w:t>ó</w:t>
      </w:r>
      <w:r w:rsidR="00841F2B" w:rsidRPr="00682590">
        <w:rPr>
          <w:sz w:val="24"/>
        </w:rPr>
        <w:t xml:space="preserve">rych mowa w ust. </w:t>
      </w:r>
      <w:r w:rsidR="00EC46CE">
        <w:rPr>
          <w:sz w:val="24"/>
          <w:lang w:val="it-IT"/>
        </w:rPr>
        <w:t>4 i 5</w:t>
      </w:r>
      <w:r w:rsidR="00841F2B" w:rsidRPr="00682590">
        <w:rPr>
          <w:sz w:val="24"/>
          <w:lang w:val="it-IT"/>
        </w:rPr>
        <w:t xml:space="preserve"> </w:t>
      </w:r>
      <w:r w:rsidR="00841F2B" w:rsidRPr="00682590">
        <w:rPr>
          <w:sz w:val="24"/>
        </w:rPr>
        <w:t xml:space="preserve">niniejszego paragrafu Wydzierżawiający zastrzega sobie prawo do jednostronnej zmiany wysokości czynszu z przyczyn niezależnych od Wydzierżawiającego, tj. w przypadku powstania nowych lub wzrostu </w:t>
      </w:r>
      <w:r>
        <w:rPr>
          <w:sz w:val="24"/>
        </w:rPr>
        <w:t>istniejących obciążeń publiczno–</w:t>
      </w:r>
      <w:r w:rsidR="00841F2B" w:rsidRPr="00682590">
        <w:rPr>
          <w:sz w:val="24"/>
        </w:rPr>
        <w:t>prawnych związanych z przedmiotem dzierżawy – o ich zaistnieniu Wydzierżawiający niezwłocznie powiadomi Dzierżawcę.</w:t>
      </w:r>
    </w:p>
    <w:p w:rsidR="004A651D" w:rsidRDefault="00682590" w:rsidP="004A651D">
      <w:pPr>
        <w:pStyle w:val="Tekstpodstawowywcity21"/>
        <w:tabs>
          <w:tab w:val="left" w:pos="360"/>
        </w:tabs>
        <w:spacing w:after="0" w:line="100" w:lineRule="atLeast"/>
        <w:ind w:left="0"/>
        <w:jc w:val="both"/>
        <w:rPr>
          <w:b/>
        </w:rPr>
      </w:pPr>
      <w:r>
        <w:rPr>
          <w:b/>
        </w:rPr>
        <w:t>8</w:t>
      </w:r>
      <w:r w:rsidR="004A651D">
        <w:rPr>
          <w:b/>
        </w:rPr>
        <w:t>. Dzierżawca zobowiązany jest do złożenia w Wydziale Podatków i Opłat Lokalnych informacji</w:t>
      </w:r>
      <w:r w:rsidR="00DD0764">
        <w:rPr>
          <w:b/>
        </w:rPr>
        <w:t>/deklaracji</w:t>
      </w:r>
      <w:r w:rsidR="004A651D">
        <w:rPr>
          <w:b/>
        </w:rPr>
        <w:t xml:space="preserve"> dot. podatku od nieruchomości – w terminie 14 dni od daty podpisania niniejszej umowy i płacenia podatku od nieruchomości wg obowiązujących stawek i norm.</w:t>
      </w:r>
    </w:p>
    <w:p w:rsidR="004A651D" w:rsidRDefault="004A651D" w:rsidP="004A651D">
      <w:pPr>
        <w:pStyle w:val="Tekstpodstawowy31"/>
        <w:spacing w:after="0"/>
        <w:ind w:right="284"/>
        <w:jc w:val="both"/>
        <w:rPr>
          <w:sz w:val="24"/>
        </w:rPr>
      </w:pPr>
    </w:p>
    <w:p w:rsidR="004A651D" w:rsidRDefault="004A651D" w:rsidP="004A651D">
      <w:pPr>
        <w:pStyle w:val="Standard"/>
        <w:jc w:val="center"/>
        <w:rPr>
          <w:b/>
        </w:rPr>
      </w:pPr>
      <w:r>
        <w:rPr>
          <w:b/>
        </w:rPr>
        <w:t>§ 5</w:t>
      </w:r>
    </w:p>
    <w:p w:rsidR="004A651D" w:rsidRDefault="004A651D" w:rsidP="004A651D">
      <w:pPr>
        <w:pStyle w:val="Tekstpodstawowywcity21"/>
        <w:spacing w:after="0" w:line="100" w:lineRule="atLeast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Niezależnie od czynszu określonego w ustępie 1 § 4 Dzierżawca ponosi opłaty za media związane z korzystaniem ze stoiska handlowego.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DD0764" w:rsidRDefault="00DD0764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6</w:t>
      </w:r>
    </w:p>
    <w:p w:rsidR="004A651D" w:rsidRDefault="004A651D" w:rsidP="00EC46CE">
      <w:pPr>
        <w:pStyle w:val="Standard"/>
        <w:jc w:val="both"/>
      </w:pPr>
      <w:r>
        <w:t>Dzierżawca zobowiązany j</w:t>
      </w:r>
      <w:r w:rsidR="00EC46CE">
        <w:t>est do</w:t>
      </w:r>
      <w:r>
        <w:t>:</w:t>
      </w:r>
    </w:p>
    <w:p w:rsidR="00EC46CE" w:rsidRDefault="004A651D" w:rsidP="00EC46CE">
      <w:pPr>
        <w:numPr>
          <w:ilvl w:val="0"/>
          <w:numId w:val="16"/>
        </w:numPr>
        <w:tabs>
          <w:tab w:val="clear" w:pos="720"/>
          <w:tab w:val="num" w:pos="142"/>
        </w:tabs>
        <w:ind w:left="0" w:firstLine="0"/>
        <w:jc w:val="both"/>
      </w:pPr>
      <w:r>
        <w:t>Utrzymania przedmiotu dzierżawy oraz terenu bezpośredn</w:t>
      </w:r>
      <w:r w:rsidR="00EC46CE">
        <w:t xml:space="preserve">io przyległego w należytym porządku z zachowaniem wszelkich wymogów dotyczących ochrony środowiska. </w:t>
      </w:r>
      <w:r w:rsidR="00EC46CE" w:rsidRPr="006B44EF">
        <w:t>Usuwania na własny koszt skutków awarii, katastrof budowlanych i innych szkód.</w:t>
      </w:r>
    </w:p>
    <w:p w:rsidR="00EC46CE" w:rsidRDefault="004A651D" w:rsidP="00EC46CE">
      <w:pPr>
        <w:numPr>
          <w:ilvl w:val="0"/>
          <w:numId w:val="16"/>
        </w:numPr>
        <w:tabs>
          <w:tab w:val="clear" w:pos="720"/>
          <w:tab w:val="num" w:pos="142"/>
        </w:tabs>
        <w:ind w:left="0" w:firstLine="0"/>
        <w:jc w:val="both"/>
      </w:pPr>
      <w:r>
        <w:t>Ubezpieczenia przedmiotu dzierżawy opisanego w § 1 umowy (od odpowiedzialności cywilnej i zdarzeń losowych).</w:t>
      </w:r>
    </w:p>
    <w:p w:rsidR="00EC46CE" w:rsidRDefault="004A651D" w:rsidP="00EC46CE">
      <w:pPr>
        <w:numPr>
          <w:ilvl w:val="0"/>
          <w:numId w:val="16"/>
        </w:numPr>
        <w:tabs>
          <w:tab w:val="clear" w:pos="720"/>
          <w:tab w:val="num" w:pos="142"/>
        </w:tabs>
        <w:ind w:left="0" w:firstLine="0"/>
        <w:jc w:val="both"/>
      </w:pPr>
      <w:r>
        <w:t>Wykonania na własny koszt wszelkich napraw i remontów przedmiotu dzierżawy, w sposób gwarantujący prawidłowy stan techniczny w porozumieniu z Wydzierżawiającym.</w:t>
      </w:r>
    </w:p>
    <w:p w:rsidR="00EC46CE" w:rsidRDefault="004A651D" w:rsidP="00EC46CE">
      <w:pPr>
        <w:numPr>
          <w:ilvl w:val="0"/>
          <w:numId w:val="16"/>
        </w:numPr>
        <w:tabs>
          <w:tab w:val="clear" w:pos="720"/>
          <w:tab w:val="num" w:pos="142"/>
        </w:tabs>
        <w:ind w:left="0" w:firstLine="0"/>
        <w:jc w:val="both"/>
      </w:pPr>
      <w:r w:rsidRPr="00EC46CE">
        <w:t>Racjonalnego wykorzystania przedmiotu dzierżawy zgodnie z celem określonym w § 2 umowy.</w:t>
      </w:r>
    </w:p>
    <w:p w:rsidR="004A651D" w:rsidRDefault="004A651D" w:rsidP="00EC46CE">
      <w:pPr>
        <w:numPr>
          <w:ilvl w:val="0"/>
          <w:numId w:val="16"/>
        </w:numPr>
        <w:tabs>
          <w:tab w:val="clear" w:pos="720"/>
          <w:tab w:val="num" w:pos="142"/>
        </w:tabs>
        <w:ind w:left="0" w:firstLine="0"/>
        <w:jc w:val="both"/>
      </w:pPr>
      <w:r w:rsidRPr="00EC46CE">
        <w:t>W przypadku zmiany adresu zamieszkania Dzierżawca winien ten fakt zgłosić Wydzierżawiającemu w terminie 14 dni. O ile tego nie uczyni pisma wysyłane pod dotychczasowym adresem będą uważane jako doręczone skutecznie.</w:t>
      </w:r>
    </w:p>
    <w:p w:rsidR="00EC46CE" w:rsidRDefault="00EC46CE" w:rsidP="00EC46CE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6B44EF">
        <w:t xml:space="preserve">Posiadania na stoisku aktualnej umowy dzierżawy wraz załącznikiem graficznym. </w:t>
      </w:r>
      <w:r w:rsidRPr="006B44EF">
        <w:br/>
      </w:r>
    </w:p>
    <w:p w:rsidR="00EC46CE" w:rsidRPr="006B44EF" w:rsidRDefault="00EC46CE" w:rsidP="00EC46CE">
      <w:pPr>
        <w:jc w:val="both"/>
      </w:pPr>
      <w:r w:rsidRPr="006B44EF">
        <w:t>W przypadku dwukrotnego braku umowy dzierżawy na stoisku podczas kontroli umowa dzierżawy może zostać rozwiązana z zachowaniem dwu tygodniowego okresu wypowiedzenia.</w:t>
      </w:r>
    </w:p>
    <w:p w:rsidR="00EC46CE" w:rsidRPr="00EC46CE" w:rsidRDefault="00EC46CE" w:rsidP="00EC46CE">
      <w:pPr>
        <w:jc w:val="both"/>
      </w:pPr>
    </w:p>
    <w:p w:rsidR="00CF735C" w:rsidRDefault="00CF735C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7</w:t>
      </w:r>
    </w:p>
    <w:p w:rsidR="00DD0764" w:rsidRPr="00047668" w:rsidRDefault="004A651D" w:rsidP="00047668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Wydzierżawiający oświetli teren, w skład którego wchodzi przedmiot niniejszej umowy oraz utrzyma go w czystości.</w:t>
      </w:r>
    </w:p>
    <w:p w:rsidR="00EC46CE" w:rsidRDefault="00EC46CE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8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Dzierżawca powinien wykonywać swoje prawa zgodnie z wymogami prawidłowej gospodarki i nie może zmieniać przeznaczenia przedmiotu dzierżawy bez zgody pisemnej Wydzierżawiającego.</w:t>
      </w:r>
    </w:p>
    <w:p w:rsidR="00B06CD0" w:rsidRDefault="00B06CD0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9</w:t>
      </w:r>
    </w:p>
    <w:p w:rsidR="004A651D" w:rsidRPr="004A651D" w:rsidRDefault="004A651D" w:rsidP="004A651D">
      <w:pPr>
        <w:pStyle w:val="Textbody"/>
        <w:jc w:val="both"/>
      </w:pPr>
      <w:r>
        <w:rPr>
          <w:rFonts w:eastAsia="Times New Roman" w:cs="Times New Roman"/>
        </w:rPr>
        <w:t>Wydzierżawiającemu przysługuje prawo przeprowadzenia kontroli przedmiotu dzierżawy pod względem jego wykorzystania zgodnie z treścią niniejszej umowy.</w:t>
      </w:r>
      <w:r>
        <w:rPr>
          <w:rFonts w:eastAsia="Times New Roman" w:cs="Times New Roman"/>
          <w:b/>
        </w:rPr>
        <w:t xml:space="preserve">                                                                       </w:t>
      </w:r>
    </w:p>
    <w:p w:rsidR="00DD0764" w:rsidRDefault="00DD0764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10</w:t>
      </w:r>
    </w:p>
    <w:p w:rsidR="004A651D" w:rsidRDefault="004A651D" w:rsidP="004A651D">
      <w:pPr>
        <w:widowControl w:val="0"/>
        <w:numPr>
          <w:ilvl w:val="1"/>
          <w:numId w:val="4"/>
        </w:numPr>
        <w:tabs>
          <w:tab w:val="left" w:pos="284"/>
        </w:tabs>
        <w:suppressAutoHyphens/>
        <w:autoSpaceDN w:val="0"/>
        <w:jc w:val="both"/>
        <w:textAlignment w:val="baseline"/>
      </w:pPr>
      <w:r>
        <w:t>Niniejsza umowa może być rozwiązana na podstawie porozumienia stron w każdym terminie lub wypowiedziana przez każdą ze Stron z zachowaniem trzymiesięcznego terminu wypowiedzenia, bez podania przyczyny.</w:t>
      </w:r>
    </w:p>
    <w:p w:rsidR="004A651D" w:rsidRDefault="004A651D" w:rsidP="004A651D">
      <w:pPr>
        <w:pStyle w:val="Standard"/>
        <w:numPr>
          <w:ilvl w:val="0"/>
          <w:numId w:val="8"/>
        </w:numPr>
        <w:tabs>
          <w:tab w:val="left" w:pos="284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Wydzierżawiający może rozwiązać umowę z zachowaniem dwutygodniowego terminu wypowiedzenia, gdy Dzierżawca:</w:t>
      </w:r>
    </w:p>
    <w:p w:rsidR="004A651D" w:rsidRDefault="004A651D" w:rsidP="004A651D">
      <w:pPr>
        <w:pStyle w:val="Standard"/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 zalega z zapłatą czynszu dzierżawnego za okres dwóch miesięcy od upływu terminu płatności,</w:t>
      </w:r>
    </w:p>
    <w:p w:rsidR="004A651D" w:rsidRDefault="004A651D" w:rsidP="004A651D">
      <w:pPr>
        <w:pStyle w:val="Standard"/>
        <w:tabs>
          <w:tab w:val="left" w:pos="72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 wykorzystuje przedmiot umowy sprzecznie z § 2 niniejszej umowy,</w:t>
      </w:r>
    </w:p>
    <w:p w:rsidR="004A651D" w:rsidRDefault="004A651D" w:rsidP="004A651D">
      <w:pPr>
        <w:pStyle w:val="Standard"/>
        <w:tabs>
          <w:tab w:val="left" w:pos="1080"/>
          <w:tab w:val="left" w:pos="180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 nie wykonuje zobowiązań określonych w § 5 i § 6 niniejszej umowy,</w:t>
      </w:r>
    </w:p>
    <w:p w:rsidR="004A651D" w:rsidRPr="00840E26" w:rsidRDefault="004A651D" w:rsidP="004A651D">
      <w:pPr>
        <w:pStyle w:val="Standard"/>
        <w:tabs>
          <w:tab w:val="left" w:pos="1080"/>
          <w:tab w:val="left" w:pos="1800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d) nie będzie przestrzegać postanowień § 8 niniejszej umowy.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11</w:t>
      </w:r>
    </w:p>
    <w:p w:rsidR="004A651D" w:rsidRDefault="004A651D" w:rsidP="004A651D">
      <w:pPr>
        <w:pStyle w:val="Standard"/>
        <w:numPr>
          <w:ilvl w:val="0"/>
          <w:numId w:val="9"/>
        </w:numPr>
        <w:tabs>
          <w:tab w:val="left" w:pos="284"/>
        </w:tabs>
        <w:jc w:val="both"/>
      </w:pPr>
      <w:r>
        <w:t>Z chwilą rozwiązania lub wygaśnięcia umowy Dzierżawca zobowiązuje się do zwrócenia</w:t>
      </w:r>
      <w:r w:rsidR="00972539">
        <w:t xml:space="preserve"> protokołem zdawczo - odbiorczym</w:t>
      </w:r>
      <w:r>
        <w:t xml:space="preserve"> Wydzierżawiającemu stoiska wraz z urządzeniami pom</w:t>
      </w:r>
      <w:r w:rsidR="00972539">
        <w:t xml:space="preserve">iarowymi (licznik prądu, wody) </w:t>
      </w:r>
      <w:r>
        <w:t>w stanie niepogorszonym. W przypadku nie wywiązania się z powyższych zobowiązań Wydzierżawiającemu przysługuje prawo do przywrócenia stoiska handlowego do stanu pierwotnego na koszt Dzierżawcy.</w:t>
      </w:r>
    </w:p>
    <w:p w:rsidR="004A651D" w:rsidRDefault="004A651D" w:rsidP="004A651D">
      <w:pPr>
        <w:pStyle w:val="Standard"/>
        <w:numPr>
          <w:ilvl w:val="0"/>
          <w:numId w:val="5"/>
        </w:numPr>
        <w:shd w:val="clear" w:color="auto" w:fill="FFFFFF"/>
        <w:tabs>
          <w:tab w:val="left" w:pos="10"/>
          <w:tab w:val="left" w:pos="284"/>
          <w:tab w:val="left" w:pos="540"/>
        </w:tabs>
        <w:autoSpaceDE w:val="0"/>
        <w:spacing w:line="274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W przypadku rozwiązania lub wygaśnięcia niniejszej umowy, wszystkie nakłady poniesione przez Dzierżawcę na przedmiot dzierżawy podlegają zatrzymaniu przez Wydzierżawiającego bez konieczności zapłaty za nie Dzierżawcy.</w:t>
      </w:r>
    </w:p>
    <w:p w:rsidR="004A651D" w:rsidRDefault="004A651D" w:rsidP="004A651D">
      <w:pPr>
        <w:pStyle w:val="Standard"/>
        <w:numPr>
          <w:ilvl w:val="0"/>
          <w:numId w:val="5"/>
        </w:numPr>
        <w:shd w:val="clear" w:color="auto" w:fill="FFFFFF"/>
        <w:tabs>
          <w:tab w:val="left" w:pos="10"/>
          <w:tab w:val="left" w:pos="284"/>
        </w:tabs>
        <w:autoSpaceDE w:val="0"/>
        <w:spacing w:line="274" w:lineRule="exact"/>
        <w:jc w:val="both"/>
        <w:rPr>
          <w:rFonts w:eastAsia="Times New Roman" w:cs="Times New Roman"/>
          <w:color w:val="000000"/>
          <w:spacing w:val="-1"/>
        </w:rPr>
      </w:pPr>
      <w:r>
        <w:rPr>
          <w:rFonts w:eastAsia="Times New Roman" w:cs="Times New Roman"/>
          <w:color w:val="000000"/>
          <w:spacing w:val="-1"/>
        </w:rPr>
        <w:t>Dzierżawca zobowiązany będzie do zwrotu p</w:t>
      </w:r>
      <w:r w:rsidR="00972539">
        <w:rPr>
          <w:rFonts w:eastAsia="Times New Roman" w:cs="Times New Roman"/>
          <w:color w:val="000000"/>
          <w:spacing w:val="-1"/>
        </w:rPr>
        <w:t>rzedmiotu dzierżawy w terminie 14</w:t>
      </w:r>
      <w:r>
        <w:rPr>
          <w:rFonts w:eastAsia="Times New Roman" w:cs="Times New Roman"/>
          <w:color w:val="000000"/>
          <w:spacing w:val="-1"/>
        </w:rPr>
        <w:t xml:space="preserve"> dni od dnia rozwiązania bądź wygaśnięcia umowy dzierżawy.</w:t>
      </w:r>
    </w:p>
    <w:p w:rsidR="00D250BF" w:rsidRDefault="00D250BF" w:rsidP="00D250BF">
      <w:pPr>
        <w:tabs>
          <w:tab w:val="left" w:pos="709"/>
        </w:tabs>
        <w:spacing w:line="276" w:lineRule="auto"/>
        <w:jc w:val="center"/>
        <w:rPr>
          <w:b/>
        </w:rPr>
      </w:pPr>
    </w:p>
    <w:p w:rsidR="00D250BF" w:rsidRDefault="00D250BF" w:rsidP="00D250BF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D250BF" w:rsidRDefault="00D250BF" w:rsidP="009E0DC2">
      <w:pPr>
        <w:tabs>
          <w:tab w:val="left" w:pos="709"/>
        </w:tabs>
        <w:jc w:val="both"/>
        <w:rPr>
          <w:b/>
        </w:rPr>
      </w:pPr>
      <w:r>
        <w:t xml:space="preserve">1. Wpłacone </w:t>
      </w:r>
      <w:r w:rsidR="00DD0BA2">
        <w:t xml:space="preserve">w postępowaniu przetargowym </w:t>
      </w:r>
      <w:r w:rsidR="00136301">
        <w:t>wadium w kwocie 3.000 zł (słownie: trzy</w:t>
      </w:r>
      <w:r>
        <w:t xml:space="preserve"> tysiące złotych 00/100) zaliczone zostanie na poczet kaucji, w celu zabezpieczenia płatności wszelkich należności wynikających z umowy dzierżawy a także z tytułu ewentualnego zniszczenia, uszkodzenia bądź uporządkowania przedmiotu dzierżawy po wygaśnięciu bądź rozwiązaniu umowy.</w:t>
      </w:r>
    </w:p>
    <w:p w:rsidR="00D250BF" w:rsidRPr="00D250BF" w:rsidRDefault="00D250BF" w:rsidP="009E0DC2">
      <w:pPr>
        <w:tabs>
          <w:tab w:val="left" w:pos="709"/>
        </w:tabs>
        <w:jc w:val="both"/>
        <w:rPr>
          <w:b/>
        </w:rPr>
      </w:pPr>
      <w:r w:rsidRPr="00D250BF">
        <w:t>2.</w:t>
      </w:r>
      <w:r>
        <w:rPr>
          <w:b/>
        </w:rPr>
        <w:t xml:space="preserve"> </w:t>
      </w:r>
      <w:r>
        <w:t xml:space="preserve">Wydzierżawiający może potrącić z kaucji dowolnie wybrane wymagalne wobec Dzierżawcy roszczenia wynikające z niniejszej umowy, bez konieczności wcześniejszego wezwania, składając Dzierżawcy pisemne oświadczenie o potrąceniu. Dzierżawca ma obowiązek uzupełnić kaucję do pierwotne wysokości w terminie 7 dni od daty doręczenia oświadczenia, </w:t>
      </w:r>
      <w:r w:rsidR="00CE7F95">
        <w:br/>
      </w:r>
      <w:r>
        <w:t>o którym wyżej mowa, pod rygorem wypowiedzenia umowy w trybie natychmiastowym, za pisemnym powiadomieniem Dzierżawcy.</w:t>
      </w:r>
    </w:p>
    <w:p w:rsidR="00D250BF" w:rsidRDefault="00D250BF" w:rsidP="009E0DC2">
      <w:pPr>
        <w:widowControl w:val="0"/>
        <w:tabs>
          <w:tab w:val="left" w:pos="0"/>
        </w:tabs>
        <w:suppressAutoHyphens/>
        <w:jc w:val="both"/>
      </w:pPr>
      <w:r>
        <w:t>3. W razie zakończenia obowiązywania umowy kwota kaucji w przypadku braku jej wcześniejszego wykorzystania na zaspokojenie roszczeń Wydzierżawiającego zostanie zwrócona bez waloryzacji Dzierża</w:t>
      </w:r>
      <w:r w:rsidR="00CE7F95">
        <w:t>wcy nie później niż w terminie 14</w:t>
      </w:r>
      <w:r>
        <w:t xml:space="preserve"> dni od daty protokolarnego zwrotu przedmiotu umowy, na rachunek bankowy wskazany przez Dzierżawcę.</w:t>
      </w:r>
    </w:p>
    <w:p w:rsidR="00047668" w:rsidRDefault="00047668" w:rsidP="004A651D">
      <w:pPr>
        <w:pStyle w:val="Standard"/>
        <w:shd w:val="clear" w:color="auto" w:fill="FFFFFF"/>
        <w:tabs>
          <w:tab w:val="left" w:pos="10"/>
          <w:tab w:val="left" w:pos="284"/>
          <w:tab w:val="left" w:pos="540"/>
        </w:tabs>
        <w:autoSpaceDE w:val="0"/>
        <w:spacing w:line="274" w:lineRule="exact"/>
        <w:jc w:val="both"/>
        <w:rPr>
          <w:rFonts w:eastAsia="Times New Roman" w:cs="Times New Roman"/>
        </w:rPr>
      </w:pPr>
    </w:p>
    <w:p w:rsidR="004A651D" w:rsidRDefault="00CF735C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§ 13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 przypadku gdy po zakończeniu umowy Dzierżawca nadal zajmuje przedmiot dzierżawy jest zobowiązany zapłacić Wydzierżawiającemu wynagrodzenie za bezumowne korzystnie ze stoiska, będącego uprzednio przedmiotem dzierżawy. W takiej sytuacji Wydzierżawiający może żądać zapłaty wynagrodzenia w wysokości stawki obowiązującego czynszu </w:t>
      </w:r>
      <w:r>
        <w:rPr>
          <w:rFonts w:eastAsia="Times New Roman" w:cs="Times New Roman"/>
        </w:rPr>
        <w:br/>
        <w:t>z uwzględnieniem jego zmian stosownie do § 4.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4A651D" w:rsidRDefault="00CF735C" w:rsidP="004A651D">
      <w:pPr>
        <w:pStyle w:val="Standard"/>
        <w:shd w:val="clear" w:color="auto" w:fill="FFFFFF"/>
        <w:tabs>
          <w:tab w:val="left" w:pos="30"/>
          <w:tab w:val="left" w:pos="304"/>
        </w:tabs>
        <w:autoSpaceDE w:val="0"/>
        <w:spacing w:line="274" w:lineRule="exact"/>
        <w:ind w:left="10" w:right="34"/>
        <w:jc w:val="center"/>
        <w:rPr>
          <w:b/>
        </w:rPr>
      </w:pPr>
      <w:r>
        <w:rPr>
          <w:b/>
        </w:rPr>
        <w:t>§ 14</w:t>
      </w:r>
    </w:p>
    <w:p w:rsidR="004A651D" w:rsidRDefault="004A651D" w:rsidP="004A651D">
      <w:pPr>
        <w:pStyle w:val="Standard"/>
        <w:jc w:val="both"/>
      </w:pPr>
      <w:r>
        <w:t>Wszystkie zmiany umowy wymagają formy pisemnej, pod rygorem nieważności.</w:t>
      </w:r>
    </w:p>
    <w:p w:rsidR="004A651D" w:rsidRDefault="004A651D" w:rsidP="004A651D">
      <w:pPr>
        <w:pStyle w:val="Standard"/>
        <w:rPr>
          <w:b/>
        </w:rPr>
      </w:pPr>
    </w:p>
    <w:p w:rsidR="004A651D" w:rsidRDefault="00CF735C" w:rsidP="004A651D">
      <w:pPr>
        <w:pStyle w:val="Standard"/>
        <w:jc w:val="center"/>
        <w:rPr>
          <w:b/>
        </w:rPr>
      </w:pPr>
      <w:r>
        <w:rPr>
          <w:b/>
        </w:rPr>
        <w:t>§ 15</w:t>
      </w:r>
    </w:p>
    <w:p w:rsidR="004A651D" w:rsidRPr="00B06CD0" w:rsidRDefault="004A651D" w:rsidP="00B06CD0">
      <w:pPr>
        <w:pStyle w:val="Standard"/>
        <w:jc w:val="both"/>
      </w:pPr>
      <w:r>
        <w:t>W sprawach nieunormowanych niniejszą umową mają zastosowanie przepisy Kodeksu Cywilnego.</w:t>
      </w:r>
    </w:p>
    <w:p w:rsidR="00CF735C" w:rsidRDefault="00CF735C" w:rsidP="004A651D">
      <w:pPr>
        <w:pStyle w:val="Standard"/>
        <w:jc w:val="center"/>
        <w:rPr>
          <w:b/>
        </w:rPr>
      </w:pPr>
    </w:p>
    <w:p w:rsidR="004A651D" w:rsidRDefault="00CF735C" w:rsidP="004A651D">
      <w:pPr>
        <w:pStyle w:val="Standard"/>
        <w:jc w:val="center"/>
        <w:rPr>
          <w:b/>
        </w:rPr>
      </w:pPr>
      <w:r>
        <w:rPr>
          <w:b/>
        </w:rPr>
        <w:t>§ 16</w:t>
      </w:r>
    </w:p>
    <w:p w:rsidR="004A651D" w:rsidRPr="00782976" w:rsidRDefault="004A651D" w:rsidP="00782976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Umowa niniejsza spisana została w trzech jednobrzmiących egzemplarzach, w tym jeden egzemplarz otrzymuje Dzierżawca oraz Wydział Podatków i Opłat Lokalnych Urzędu Miasta Świnoujście.</w:t>
      </w:r>
    </w:p>
    <w:p w:rsidR="004A651D" w:rsidRDefault="004A651D" w:rsidP="004A651D">
      <w:pPr>
        <w:pStyle w:val="Standard"/>
        <w:jc w:val="center"/>
        <w:rPr>
          <w:rFonts w:eastAsia="Times New Roman" w:cs="Times New Roman"/>
        </w:rPr>
      </w:pPr>
    </w:p>
    <w:p w:rsidR="004A651D" w:rsidRDefault="004A651D" w:rsidP="004A651D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Wydzierżawiający                                                                                Dzierżawca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                                                              ..........................................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CE7F95" w:rsidRDefault="00CE7F95" w:rsidP="004A651D">
      <w:pPr>
        <w:pStyle w:val="Standard"/>
        <w:jc w:val="both"/>
        <w:rPr>
          <w:rFonts w:eastAsia="Times New Roman" w:cs="Times New Roman"/>
        </w:rPr>
      </w:pPr>
    </w:p>
    <w:p w:rsidR="00B06CD0" w:rsidRDefault="00B06CD0" w:rsidP="004A651D">
      <w:pPr>
        <w:pStyle w:val="Standard"/>
        <w:jc w:val="both"/>
        <w:rPr>
          <w:rFonts w:eastAsia="Times New Roman" w:cs="Times New Roman"/>
        </w:rPr>
      </w:pPr>
    </w:p>
    <w:p w:rsidR="004A651D" w:rsidRPr="009A2BA4" w:rsidRDefault="004A651D" w:rsidP="004A651D">
      <w:pPr>
        <w:jc w:val="center"/>
        <w:rPr>
          <w:sz w:val="16"/>
          <w:szCs w:val="16"/>
        </w:rPr>
      </w:pPr>
      <w:r w:rsidRPr="009A2BA4">
        <w:rPr>
          <w:b/>
          <w:sz w:val="16"/>
          <w:szCs w:val="16"/>
        </w:rPr>
        <w:t>Zgoda na przetwarzanie danych osobowych</w:t>
      </w:r>
    </w:p>
    <w:p w:rsidR="004A651D" w:rsidRPr="009A2BA4" w:rsidRDefault="004A651D" w:rsidP="004A651D">
      <w:pPr>
        <w:rPr>
          <w:sz w:val="16"/>
          <w:szCs w:val="16"/>
        </w:rPr>
      </w:pPr>
    </w:p>
    <w:p w:rsidR="004A651D" w:rsidRPr="009A2BA4" w:rsidRDefault="004A651D" w:rsidP="004A651D">
      <w:pPr>
        <w:jc w:val="both"/>
        <w:rPr>
          <w:sz w:val="16"/>
          <w:szCs w:val="16"/>
        </w:rPr>
      </w:pPr>
      <w:r w:rsidRPr="009A2BA4">
        <w:rPr>
          <w:sz w:val="16"/>
          <w:szCs w:val="16"/>
        </w:rPr>
        <w:t xml:space="preserve">Ja, niżej podpisana/ny wyrażam zgodę na przetwarzanie moich danych osobowych w podanym wyżej zakresie przez Prezydent Miasta Świnoujście, ul. Wojska Polskiego 1/5, 72-600 Świnoujście, w celu prowadzenia wszystkich spraw związanych z zawartą umową dzierżawy. </w:t>
      </w:r>
    </w:p>
    <w:p w:rsidR="004A651D" w:rsidRPr="009A2BA4" w:rsidRDefault="004A651D" w:rsidP="004A651D">
      <w:pPr>
        <w:jc w:val="both"/>
        <w:rPr>
          <w:sz w:val="16"/>
          <w:szCs w:val="16"/>
        </w:rPr>
      </w:pPr>
      <w:r w:rsidRPr="009A2BA4">
        <w:rPr>
          <w:sz w:val="16"/>
          <w:szCs w:val="16"/>
        </w:rPr>
        <w:t xml:space="preserve">Zapoznałem(-am)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7" w:history="1">
        <w:r w:rsidRPr="009A2BA4">
          <w:rPr>
            <w:rStyle w:val="Hipercze"/>
            <w:sz w:val="16"/>
            <w:szCs w:val="16"/>
          </w:rPr>
          <w:t>http://www.swinoujscie.pl/pl/contents/content/37/12846</w:t>
        </w:r>
      </w:hyperlink>
      <w:r w:rsidRPr="009A2BA4">
        <w:rPr>
          <w:sz w:val="16"/>
          <w:szCs w:val="16"/>
        </w:rPr>
        <w:t xml:space="preserve"> </w:t>
      </w:r>
    </w:p>
    <w:p w:rsidR="004A651D" w:rsidRPr="009A2BA4" w:rsidRDefault="004A651D" w:rsidP="004A651D">
      <w:pPr>
        <w:ind w:left="4320" w:firstLine="720"/>
        <w:rPr>
          <w:sz w:val="16"/>
          <w:szCs w:val="16"/>
        </w:rPr>
      </w:pPr>
    </w:p>
    <w:p w:rsidR="004A651D" w:rsidRPr="009A2BA4" w:rsidRDefault="004A651D" w:rsidP="004A651D">
      <w:pPr>
        <w:ind w:left="3600"/>
        <w:rPr>
          <w:sz w:val="16"/>
          <w:szCs w:val="16"/>
        </w:rPr>
      </w:pPr>
      <w:r w:rsidRPr="009A2BA4">
        <w:rPr>
          <w:sz w:val="16"/>
          <w:szCs w:val="16"/>
        </w:rPr>
        <w:t>……………………….………………….……………</w:t>
      </w:r>
    </w:p>
    <w:p w:rsidR="004A651D" w:rsidRPr="009A2BA4" w:rsidRDefault="004A651D" w:rsidP="004A651D">
      <w:pPr>
        <w:ind w:left="3600"/>
        <w:rPr>
          <w:sz w:val="16"/>
          <w:szCs w:val="16"/>
        </w:rPr>
      </w:pPr>
      <w:r w:rsidRPr="009A2BA4">
        <w:rPr>
          <w:sz w:val="16"/>
          <w:szCs w:val="16"/>
        </w:rPr>
        <w:t>Data, miejsce i podpis osoby wyrażającej zgodę</w:t>
      </w:r>
    </w:p>
    <w:p w:rsidR="004A651D" w:rsidRDefault="004A651D" w:rsidP="004A651D">
      <w:pPr>
        <w:pStyle w:val="Standard"/>
        <w:jc w:val="both"/>
        <w:rPr>
          <w:rFonts w:eastAsia="Times New Roman" w:cs="Times New Roman"/>
        </w:rPr>
      </w:pPr>
    </w:p>
    <w:p w:rsidR="004A651D" w:rsidRDefault="004A651D" w:rsidP="004A651D"/>
    <w:p w:rsidR="004A651D" w:rsidRDefault="004A651D"/>
    <w:sectPr w:rsidR="004A65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39" w:rsidRDefault="000E1339" w:rsidP="004A651D">
      <w:r>
        <w:separator/>
      </w:r>
    </w:p>
  </w:endnote>
  <w:endnote w:type="continuationSeparator" w:id="0">
    <w:p w:rsidR="000E1339" w:rsidRDefault="000E1339" w:rsidP="004A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7708"/>
      <w:docPartObj>
        <w:docPartGallery w:val="Page Numbers (Bottom of Page)"/>
        <w:docPartUnique/>
      </w:docPartObj>
    </w:sdtPr>
    <w:sdtEndPr/>
    <w:sdtContent>
      <w:p w:rsidR="004A651D" w:rsidRDefault="004A65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5C">
          <w:rPr>
            <w:noProof/>
          </w:rPr>
          <w:t>2</w:t>
        </w:r>
        <w:r>
          <w:fldChar w:fldCharType="end"/>
        </w:r>
      </w:p>
    </w:sdtContent>
  </w:sdt>
  <w:p w:rsidR="004A651D" w:rsidRDefault="004A65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39" w:rsidRDefault="000E1339" w:rsidP="004A651D">
      <w:r>
        <w:separator/>
      </w:r>
    </w:p>
  </w:footnote>
  <w:footnote w:type="continuationSeparator" w:id="0">
    <w:p w:rsidR="000E1339" w:rsidRDefault="000E1339" w:rsidP="004A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F2AD0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A57F7C"/>
    <w:multiLevelType w:val="multilevel"/>
    <w:tmpl w:val="35705FBA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AF62DF"/>
    <w:multiLevelType w:val="hybridMultilevel"/>
    <w:tmpl w:val="C762A492"/>
    <w:styleLink w:val="Zaimportowanystyl6"/>
    <w:lvl w:ilvl="0" w:tplc="F5E2AA6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DCC946">
      <w:start w:val="1"/>
      <w:numFmt w:val="lowerLetter"/>
      <w:lvlText w:val="%2)"/>
      <w:lvlJc w:val="left"/>
      <w:pPr>
        <w:tabs>
          <w:tab w:val="left" w:pos="426"/>
        </w:tabs>
        <w:ind w:left="938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C079A0">
      <w:start w:val="1"/>
      <w:numFmt w:val="lowerRoman"/>
      <w:lvlText w:val="%3."/>
      <w:lvlJc w:val="left"/>
      <w:pPr>
        <w:tabs>
          <w:tab w:val="left" w:pos="426"/>
        </w:tabs>
        <w:ind w:left="1658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564678">
      <w:start w:val="1"/>
      <w:numFmt w:val="decimal"/>
      <w:lvlText w:val="%4."/>
      <w:lvlJc w:val="left"/>
      <w:pPr>
        <w:tabs>
          <w:tab w:val="left" w:pos="426"/>
        </w:tabs>
        <w:ind w:left="23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84340C">
      <w:start w:val="1"/>
      <w:numFmt w:val="lowerLetter"/>
      <w:lvlText w:val="%5."/>
      <w:lvlJc w:val="left"/>
      <w:pPr>
        <w:tabs>
          <w:tab w:val="left" w:pos="426"/>
        </w:tabs>
        <w:ind w:left="3098" w:hanging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9AE088">
      <w:start w:val="1"/>
      <w:numFmt w:val="lowerRoman"/>
      <w:lvlText w:val="%6."/>
      <w:lvlJc w:val="left"/>
      <w:pPr>
        <w:tabs>
          <w:tab w:val="left" w:pos="426"/>
        </w:tabs>
        <w:ind w:left="3818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C0A98C">
      <w:start w:val="1"/>
      <w:numFmt w:val="decimal"/>
      <w:lvlText w:val="%7."/>
      <w:lvlJc w:val="left"/>
      <w:pPr>
        <w:tabs>
          <w:tab w:val="left" w:pos="426"/>
        </w:tabs>
        <w:ind w:left="45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B28AAA">
      <w:start w:val="1"/>
      <w:numFmt w:val="lowerLetter"/>
      <w:lvlText w:val="%8."/>
      <w:lvlJc w:val="left"/>
      <w:pPr>
        <w:tabs>
          <w:tab w:val="left" w:pos="426"/>
        </w:tabs>
        <w:ind w:left="5258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904DC2">
      <w:start w:val="1"/>
      <w:numFmt w:val="lowerRoman"/>
      <w:lvlText w:val="%9."/>
      <w:lvlJc w:val="left"/>
      <w:pPr>
        <w:tabs>
          <w:tab w:val="left" w:pos="426"/>
        </w:tabs>
        <w:ind w:left="597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9B3F8E"/>
    <w:multiLevelType w:val="hybridMultilevel"/>
    <w:tmpl w:val="B80A11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25507B"/>
    <w:multiLevelType w:val="multilevel"/>
    <w:tmpl w:val="770A4366"/>
    <w:styleLink w:val="WW8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2AA37266"/>
    <w:multiLevelType w:val="hybridMultilevel"/>
    <w:tmpl w:val="06765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107DA"/>
    <w:multiLevelType w:val="multilevel"/>
    <w:tmpl w:val="EC6C968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C0676EF"/>
    <w:multiLevelType w:val="multilevel"/>
    <w:tmpl w:val="D16A4E42"/>
    <w:styleLink w:val="WW8Num2"/>
    <w:lvl w:ilvl="0">
      <w:start w:val="1"/>
      <w:numFmt w:val="decimal"/>
      <w:lvlText w:val="%1.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F84268E"/>
    <w:multiLevelType w:val="multilevel"/>
    <w:tmpl w:val="B6DE0172"/>
    <w:styleLink w:val="WW8Num7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E8A6B00"/>
    <w:multiLevelType w:val="hybridMultilevel"/>
    <w:tmpl w:val="C762A492"/>
    <w:numStyleLink w:val="Zaimportowanystyl6"/>
  </w:abstractNum>
  <w:num w:numId="1">
    <w:abstractNumId w:val="8"/>
    <w:lvlOverride w:ilvl="0">
      <w:lvl w:ilvl="0">
        <w:start w:val="1"/>
        <w:numFmt w:val="decimal"/>
        <w:lvlText w:val="%1."/>
        <w:lvlJc w:val="left"/>
        <w:rPr>
          <w:rFonts w:ascii="StarSymbol, 'Arial Unicode MS'" w:hAnsi="StarSymbol, 'Arial Unicode MS'"/>
          <w:sz w:val="24"/>
          <w:szCs w:val="24"/>
        </w:rPr>
      </w:lvl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9"/>
    <w:lvlOverride w:ilvl="0">
      <w:startOverride w:val="2"/>
    </w:lvlOverride>
  </w:num>
  <w:num w:numId="9">
    <w:abstractNumId w:val="7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10"/>
    <w:lvlOverride w:ilvl="0">
      <w:lvl w:ilvl="0" w:tplc="FF389636">
        <w:start w:val="1"/>
        <w:numFmt w:val="decimal"/>
        <w:lvlText w:val="%1."/>
        <w:lvlJc w:val="left"/>
        <w:pPr>
          <w:tabs>
            <w:tab w:val="left" w:pos="851"/>
            <w:tab w:val="left" w:pos="114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329C18">
        <w:start w:val="1"/>
        <w:numFmt w:val="lowerLetter"/>
        <w:suff w:val="nothing"/>
        <w:lvlText w:val="%2)"/>
        <w:lvlJc w:val="left"/>
        <w:pPr>
          <w:tabs>
            <w:tab w:val="left" w:pos="426"/>
            <w:tab w:val="left" w:pos="851"/>
            <w:tab w:val="left" w:pos="1146"/>
          </w:tabs>
          <w:ind w:left="93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CA74B8">
        <w:start w:val="1"/>
        <w:numFmt w:val="lowerRoman"/>
        <w:lvlText w:val="%3."/>
        <w:lvlJc w:val="left"/>
        <w:pPr>
          <w:tabs>
            <w:tab w:val="left" w:pos="426"/>
            <w:tab w:val="left" w:pos="851"/>
            <w:tab w:val="left" w:pos="1146"/>
          </w:tabs>
          <w:ind w:left="1658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C467CE">
        <w:start w:val="1"/>
        <w:numFmt w:val="decimal"/>
        <w:lvlText w:val="%4."/>
        <w:lvlJc w:val="left"/>
        <w:pPr>
          <w:tabs>
            <w:tab w:val="left" w:pos="426"/>
            <w:tab w:val="left" w:pos="851"/>
            <w:tab w:val="left" w:pos="1146"/>
          </w:tabs>
          <w:ind w:left="237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CE6582">
        <w:start w:val="1"/>
        <w:numFmt w:val="lowerLetter"/>
        <w:lvlText w:val="%5."/>
        <w:lvlJc w:val="left"/>
        <w:pPr>
          <w:tabs>
            <w:tab w:val="left" w:pos="426"/>
            <w:tab w:val="left" w:pos="851"/>
            <w:tab w:val="left" w:pos="1146"/>
          </w:tabs>
          <w:ind w:left="3098" w:hanging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886FBE">
        <w:start w:val="1"/>
        <w:numFmt w:val="lowerRoman"/>
        <w:lvlText w:val="%6."/>
        <w:lvlJc w:val="left"/>
        <w:pPr>
          <w:tabs>
            <w:tab w:val="left" w:pos="426"/>
            <w:tab w:val="left" w:pos="851"/>
            <w:tab w:val="left" w:pos="1146"/>
          </w:tabs>
          <w:ind w:left="3818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56825C">
        <w:start w:val="1"/>
        <w:numFmt w:val="decimal"/>
        <w:lvlText w:val="%7."/>
        <w:lvlJc w:val="left"/>
        <w:pPr>
          <w:tabs>
            <w:tab w:val="left" w:pos="426"/>
            <w:tab w:val="left" w:pos="851"/>
            <w:tab w:val="left" w:pos="1146"/>
          </w:tabs>
          <w:ind w:left="4538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E25930">
        <w:start w:val="1"/>
        <w:numFmt w:val="lowerLetter"/>
        <w:lvlText w:val="%8."/>
        <w:lvlJc w:val="left"/>
        <w:pPr>
          <w:tabs>
            <w:tab w:val="left" w:pos="426"/>
            <w:tab w:val="left" w:pos="851"/>
            <w:tab w:val="left" w:pos="1146"/>
          </w:tabs>
          <w:ind w:left="5258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4B6933E">
        <w:start w:val="1"/>
        <w:numFmt w:val="lowerRoman"/>
        <w:lvlText w:val="%9."/>
        <w:lvlJc w:val="left"/>
        <w:pPr>
          <w:tabs>
            <w:tab w:val="left" w:pos="426"/>
            <w:tab w:val="left" w:pos="851"/>
            <w:tab w:val="left" w:pos="1146"/>
          </w:tabs>
          <w:ind w:left="5978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F1"/>
    <w:rsid w:val="00047668"/>
    <w:rsid w:val="0009136F"/>
    <w:rsid w:val="000E1339"/>
    <w:rsid w:val="000F7584"/>
    <w:rsid w:val="00136301"/>
    <w:rsid w:val="001B7ADA"/>
    <w:rsid w:val="001C5101"/>
    <w:rsid w:val="001E67DE"/>
    <w:rsid w:val="00282AD0"/>
    <w:rsid w:val="002902D2"/>
    <w:rsid w:val="002911A1"/>
    <w:rsid w:val="003472D0"/>
    <w:rsid w:val="003A21B3"/>
    <w:rsid w:val="003A41F6"/>
    <w:rsid w:val="003F27E3"/>
    <w:rsid w:val="004A651D"/>
    <w:rsid w:val="004B0962"/>
    <w:rsid w:val="00533B76"/>
    <w:rsid w:val="005405F1"/>
    <w:rsid w:val="00547F7B"/>
    <w:rsid w:val="005F197A"/>
    <w:rsid w:val="00616D0A"/>
    <w:rsid w:val="00662D89"/>
    <w:rsid w:val="00682590"/>
    <w:rsid w:val="006A2B01"/>
    <w:rsid w:val="006D30FB"/>
    <w:rsid w:val="0073235C"/>
    <w:rsid w:val="00746AFF"/>
    <w:rsid w:val="0075308E"/>
    <w:rsid w:val="00755762"/>
    <w:rsid w:val="00782976"/>
    <w:rsid w:val="00816AB1"/>
    <w:rsid w:val="00841F2B"/>
    <w:rsid w:val="008C26CC"/>
    <w:rsid w:val="00907FFC"/>
    <w:rsid w:val="00972539"/>
    <w:rsid w:val="009E07DE"/>
    <w:rsid w:val="009E0DC2"/>
    <w:rsid w:val="00A025E1"/>
    <w:rsid w:val="00B06CD0"/>
    <w:rsid w:val="00B47DC0"/>
    <w:rsid w:val="00BA6CA9"/>
    <w:rsid w:val="00C00739"/>
    <w:rsid w:val="00C83159"/>
    <w:rsid w:val="00CE7F95"/>
    <w:rsid w:val="00CF735C"/>
    <w:rsid w:val="00D250BF"/>
    <w:rsid w:val="00DD0764"/>
    <w:rsid w:val="00DD0BA2"/>
    <w:rsid w:val="00E059C4"/>
    <w:rsid w:val="00E16584"/>
    <w:rsid w:val="00EC46CE"/>
    <w:rsid w:val="00F14828"/>
    <w:rsid w:val="00FB7DA6"/>
    <w:rsid w:val="00FC435D"/>
    <w:rsid w:val="00FE067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8905"/>
  <w15:chartTrackingRefBased/>
  <w15:docId w15:val="{D4F645A4-A5FB-44A3-8379-EC16FBA1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5F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405F1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05F1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Standard">
    <w:name w:val="Standard"/>
    <w:rsid w:val="004A65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651D"/>
    <w:pPr>
      <w:spacing w:after="120"/>
    </w:pPr>
  </w:style>
  <w:style w:type="paragraph" w:styleId="Tytu">
    <w:name w:val="Title"/>
    <w:basedOn w:val="Standard"/>
    <w:next w:val="Podtytu"/>
    <w:link w:val="TytuZnak"/>
    <w:rsid w:val="004A651D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A651D"/>
    <w:rPr>
      <w:rFonts w:ascii="Times New Roman" w:eastAsia="SimSun" w:hAnsi="Times New Roman" w:cs="Mangal"/>
      <w:b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4A651D"/>
    <w:pPr>
      <w:jc w:val="both"/>
    </w:pPr>
  </w:style>
  <w:style w:type="paragraph" w:customStyle="1" w:styleId="Tekstpodstawowy31">
    <w:name w:val="Tekst podstawowy 31"/>
    <w:basedOn w:val="Standard"/>
    <w:rsid w:val="004A651D"/>
    <w:pPr>
      <w:spacing w:after="120"/>
    </w:pPr>
    <w:rPr>
      <w:sz w:val="16"/>
    </w:rPr>
  </w:style>
  <w:style w:type="paragraph" w:customStyle="1" w:styleId="Tekstpodstawowywcity21">
    <w:name w:val="Tekst podstawowy wcięty 21"/>
    <w:basedOn w:val="Standard"/>
    <w:rsid w:val="004A651D"/>
    <w:pPr>
      <w:spacing w:after="120" w:line="480" w:lineRule="auto"/>
      <w:ind w:left="283"/>
    </w:pPr>
  </w:style>
  <w:style w:type="character" w:styleId="Hipercze">
    <w:name w:val="Hyperlink"/>
    <w:rsid w:val="004A651D"/>
    <w:rPr>
      <w:color w:val="0000FF"/>
      <w:u w:val="single"/>
    </w:rPr>
  </w:style>
  <w:style w:type="numbering" w:customStyle="1" w:styleId="WW8Num2">
    <w:name w:val="WW8Num2"/>
    <w:basedOn w:val="Bezlisty"/>
    <w:rsid w:val="004A651D"/>
    <w:pPr>
      <w:numPr>
        <w:numId w:val="14"/>
      </w:numPr>
    </w:pPr>
  </w:style>
  <w:style w:type="numbering" w:customStyle="1" w:styleId="WW8Num3">
    <w:name w:val="WW8Num3"/>
    <w:basedOn w:val="Bezlisty"/>
    <w:rsid w:val="004A651D"/>
    <w:pPr>
      <w:numPr>
        <w:numId w:val="2"/>
      </w:numPr>
    </w:pPr>
  </w:style>
  <w:style w:type="numbering" w:customStyle="1" w:styleId="WW8Num4">
    <w:name w:val="WW8Num4"/>
    <w:basedOn w:val="Bezlisty"/>
    <w:rsid w:val="004A651D"/>
    <w:pPr>
      <w:numPr>
        <w:numId w:val="3"/>
      </w:numPr>
    </w:pPr>
  </w:style>
  <w:style w:type="numbering" w:customStyle="1" w:styleId="WW8Num7">
    <w:name w:val="WW8Num7"/>
    <w:basedOn w:val="Bezlisty"/>
    <w:rsid w:val="004A651D"/>
    <w:pPr>
      <w:numPr>
        <w:numId w:val="4"/>
      </w:numPr>
    </w:pPr>
  </w:style>
  <w:style w:type="numbering" w:customStyle="1" w:styleId="WW8Num5">
    <w:name w:val="WW8Num5"/>
    <w:basedOn w:val="Bezlisty"/>
    <w:rsid w:val="004A651D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A65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A651D"/>
    <w:rPr>
      <w:rFonts w:eastAsiaTheme="minorEastAsia"/>
      <w:color w:val="5A5A5A" w:themeColor="text1" w:themeTint="A5"/>
      <w:spacing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6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51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51D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0764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076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B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B76"/>
    <w:rPr>
      <w:rFonts w:ascii="Segoe UI" w:hAnsi="Segoe UI" w:cs="Segoe UI"/>
      <w:sz w:val="18"/>
      <w:szCs w:val="18"/>
      <w:lang w:eastAsia="pl-PL"/>
    </w:rPr>
  </w:style>
  <w:style w:type="numbering" w:customStyle="1" w:styleId="Zaimportowanystyl6">
    <w:name w:val="Zaimportowany styl 6"/>
    <w:rsid w:val="00841F2B"/>
    <w:pPr>
      <w:numPr>
        <w:numId w:val="11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472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72D0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winoujscie.pl/pl/contents/content/37/12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1620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2025-03-13T10:43:00Z</cp:lastPrinted>
  <dcterms:created xsi:type="dcterms:W3CDTF">2025-03-13T12:24:00Z</dcterms:created>
  <dcterms:modified xsi:type="dcterms:W3CDTF">2025-03-13T12:24:00Z</dcterms:modified>
</cp:coreProperties>
</file>