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42" w:rsidRDefault="00D057A6">
      <w:pPr>
        <w:pStyle w:val="Nagwek1"/>
        <w:rPr>
          <w:b w:val="0"/>
          <w:sz w:val="18"/>
          <w:szCs w:val="18"/>
        </w:rPr>
      </w:pPr>
      <w:bookmarkStart w:id="0" w:name="_GoBack"/>
      <w:bookmarkEnd w:id="0"/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Załącznik Nr 1 do Zarządzenia Nr 664/2020</w:t>
      </w:r>
    </w:p>
    <w:p w:rsidR="00CA0942" w:rsidRDefault="00D057A6">
      <w:pPr>
        <w:rPr>
          <w:rFonts w:hint="eastAsia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Prezydenta Miasta Świnoujście</w:t>
      </w:r>
    </w:p>
    <w:p w:rsidR="00CA0942" w:rsidRDefault="00D057A6">
      <w:pPr>
        <w:rPr>
          <w:rFonts w:hint="eastAsia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z dnia 22 października 2020 r.</w:t>
      </w:r>
    </w:p>
    <w:p w:rsidR="00CA0942" w:rsidRDefault="00CA0942">
      <w:pPr>
        <w:pStyle w:val="Nagwek1"/>
        <w:jc w:val="left"/>
      </w:pPr>
    </w:p>
    <w:p w:rsidR="00CA0942" w:rsidRDefault="00CA0942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942" w:rsidRDefault="00D057A6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Prezydent Miasta Świnoujście</w:t>
      </w:r>
    </w:p>
    <w:p w:rsidR="00CA0942" w:rsidRDefault="00D057A6">
      <w:pPr>
        <w:pStyle w:val="Bezodstpw"/>
        <w:jc w:val="center"/>
        <w:rPr>
          <w:rFonts w:hint="eastAsia"/>
        </w:rPr>
      </w:pPr>
      <w:r>
        <w:rPr>
          <w:rStyle w:val="StrongEmphasis"/>
          <w:bCs w:val="0"/>
        </w:rPr>
        <w:t>ogłasza pierwszy przetarg pisemny nieograniczony na oddanie w dzierżawę niezabudowanych nieruchomości gruntowych bądź ich części stan</w:t>
      </w:r>
      <w:r>
        <w:rPr>
          <w:rStyle w:val="StrongEmphasis"/>
          <w:bCs w:val="0"/>
        </w:rPr>
        <w:t>owiących własność gminy Miasto Świnoujście, położonych w Świnoujściu przy ul. Karsiborskiej - Mulnik</w:t>
      </w:r>
    </w:p>
    <w:p w:rsidR="00CA0942" w:rsidRDefault="00CA0942">
      <w:pPr>
        <w:pStyle w:val="Textbody"/>
        <w:rPr>
          <w:rFonts w:ascii="Times New Roman" w:hAnsi="Times New Roman" w:cs="Times New Roman"/>
        </w:rPr>
      </w:pPr>
    </w:p>
    <w:p w:rsidR="00CA0942" w:rsidRDefault="00D057A6">
      <w:pPr>
        <w:pStyle w:val="Bezodstpw"/>
        <w:jc w:val="both"/>
        <w:rPr>
          <w:rFonts w:hint="eastAsia"/>
        </w:rPr>
      </w:pPr>
      <w:r>
        <w:rPr>
          <w:rStyle w:val="StrongEmphasis"/>
          <w:bCs w:val="0"/>
        </w:rPr>
        <w:t>Przedmiotem postępowania przetargowego jest wyłonienie dzierżawcy dla każdej nieruchomości na okres 30 lat</w:t>
      </w:r>
      <w:r>
        <w:rPr>
          <w:rStyle w:val="StrongEmphasis"/>
          <w:b w:val="0"/>
          <w:bCs w:val="0"/>
        </w:rPr>
        <w:t> .</w:t>
      </w:r>
    </w:p>
    <w:p w:rsidR="00CA0942" w:rsidRDefault="00D057A6">
      <w:pPr>
        <w:pStyle w:val="Bezodstpw"/>
        <w:rPr>
          <w:rFonts w:hint="eastAsia"/>
        </w:rPr>
      </w:pPr>
      <w:r>
        <w:rPr>
          <w:rStyle w:val="StrongEmphasis"/>
          <w:bCs w:val="0"/>
        </w:rPr>
        <w:t>I Oznaczenie nieruchomości według księgi wiec</w:t>
      </w:r>
      <w:r>
        <w:rPr>
          <w:rStyle w:val="StrongEmphasis"/>
          <w:bCs w:val="0"/>
        </w:rPr>
        <w:t>zystej oraz katastru nieruchomości:</w:t>
      </w:r>
    </w:p>
    <w:p w:rsidR="00CA0942" w:rsidRDefault="00CA0942">
      <w:pPr>
        <w:pStyle w:val="Bezodstpw"/>
        <w:rPr>
          <w:rFonts w:hint="eastAsia"/>
        </w:rPr>
      </w:pPr>
    </w:p>
    <w:tbl>
      <w:tblPr>
        <w:tblW w:w="9558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3121"/>
        <w:gridCol w:w="1116"/>
        <w:gridCol w:w="564"/>
        <w:gridCol w:w="3073"/>
        <w:gridCol w:w="1174"/>
      </w:tblGrid>
      <w:tr w:rsidR="00CA0942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42" w:rsidRDefault="00D057A6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42" w:rsidRDefault="00D057A6">
            <w:pPr>
              <w:pStyle w:val="Bezodstpw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OZNACZENIE NIERUCHOMOŚCI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42" w:rsidRDefault="00D057A6">
            <w:pPr>
              <w:pStyle w:val="Bezodstpw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POW.</w:t>
            </w:r>
          </w:p>
          <w:p w:rsidR="00CA0942" w:rsidRDefault="00D057A6">
            <w:pPr>
              <w:pStyle w:val="Bezodstpw"/>
              <w:jc w:val="center"/>
              <w:rPr>
                <w:rFonts w:hint="eastAsia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42" w:rsidRDefault="00D057A6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42" w:rsidRDefault="00D057A6">
            <w:pPr>
              <w:pStyle w:val="Bezodstpw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OZNACZENIE NIERUCHOMOŚCI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42" w:rsidRDefault="00D057A6">
            <w:pPr>
              <w:pStyle w:val="Bezodstpw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POW.</w:t>
            </w:r>
          </w:p>
          <w:p w:rsidR="00CA0942" w:rsidRDefault="00D057A6">
            <w:pPr>
              <w:pStyle w:val="Bezodstpw"/>
              <w:jc w:val="center"/>
              <w:rPr>
                <w:rFonts w:hint="eastAsia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</w:tr>
      <w:tr w:rsidR="00CA0942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42" w:rsidRDefault="00D057A6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42" w:rsidRDefault="00D057A6">
            <w:pPr>
              <w:pStyle w:val="Bezodstpw"/>
              <w:rPr>
                <w:rFonts w:hint="eastAsia"/>
              </w:rPr>
            </w:pPr>
            <w:r>
              <w:t>część działki nr 254/13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42" w:rsidRDefault="00D057A6">
            <w:pPr>
              <w:pStyle w:val="Bezodstpw"/>
              <w:jc w:val="right"/>
              <w:rPr>
                <w:rFonts w:hint="eastAsia"/>
              </w:rPr>
            </w:pPr>
            <w:r>
              <w:t>2264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42" w:rsidRDefault="00D057A6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42" w:rsidRDefault="00D057A6">
            <w:pPr>
              <w:pStyle w:val="Bezodstpw"/>
              <w:rPr>
                <w:rFonts w:hint="eastAsia"/>
              </w:rPr>
            </w:pPr>
            <w:r>
              <w:t>część działki nr 254/8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42" w:rsidRDefault="00D057A6">
            <w:pPr>
              <w:pStyle w:val="Bezodstpw"/>
              <w:jc w:val="right"/>
              <w:rPr>
                <w:rFonts w:hint="eastAsia"/>
              </w:rPr>
            </w:pPr>
            <w:r>
              <w:t>600</w:t>
            </w:r>
          </w:p>
        </w:tc>
      </w:tr>
      <w:tr w:rsidR="00CA0942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42" w:rsidRDefault="00D057A6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42" w:rsidRDefault="00D057A6">
            <w:pPr>
              <w:pStyle w:val="Bezodstpw"/>
              <w:rPr>
                <w:rFonts w:hint="eastAsia"/>
              </w:rPr>
            </w:pPr>
            <w:r>
              <w:t>część działki nr 254/13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42" w:rsidRDefault="00D057A6">
            <w:pPr>
              <w:pStyle w:val="Bezodstpw"/>
              <w:jc w:val="right"/>
              <w:rPr>
                <w:rFonts w:hint="eastAsia"/>
              </w:rPr>
            </w:pPr>
            <w:r>
              <w:t>2232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42" w:rsidRDefault="00D057A6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42" w:rsidRDefault="00D057A6">
            <w:pPr>
              <w:pStyle w:val="Bezodstpw"/>
              <w:rPr>
                <w:rFonts w:hint="eastAsia"/>
              </w:rPr>
            </w:pPr>
            <w:r>
              <w:t>część działki nr 254/8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42" w:rsidRDefault="00D057A6">
            <w:pPr>
              <w:pStyle w:val="Bezodstpw"/>
              <w:jc w:val="right"/>
              <w:rPr>
                <w:rFonts w:hint="eastAsia"/>
              </w:rPr>
            </w:pPr>
            <w:r>
              <w:t>2373</w:t>
            </w:r>
          </w:p>
        </w:tc>
      </w:tr>
      <w:tr w:rsidR="00CA0942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42" w:rsidRDefault="00D057A6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42" w:rsidRDefault="00D057A6">
            <w:pPr>
              <w:pStyle w:val="Bezodstpw"/>
              <w:rPr>
                <w:rFonts w:hint="eastAsia"/>
              </w:rPr>
            </w:pPr>
            <w:r>
              <w:t xml:space="preserve">część działki </w:t>
            </w:r>
            <w:r>
              <w:t>nr 254/14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42" w:rsidRDefault="00D057A6">
            <w:pPr>
              <w:pStyle w:val="Bezodstpw"/>
              <w:jc w:val="right"/>
              <w:rPr>
                <w:rFonts w:hint="eastAsia"/>
              </w:rPr>
            </w:pPr>
            <w:r>
              <w:t>2184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42" w:rsidRDefault="00D057A6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42" w:rsidRDefault="00D057A6">
            <w:pPr>
              <w:pStyle w:val="Bezodstpw"/>
              <w:rPr>
                <w:rFonts w:hint="eastAsia"/>
              </w:rPr>
            </w:pPr>
            <w:r>
              <w:t>część działki nr 254/19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42" w:rsidRDefault="00D057A6">
            <w:pPr>
              <w:pStyle w:val="Bezodstpw"/>
              <w:jc w:val="right"/>
              <w:rPr>
                <w:rFonts w:hint="eastAsia"/>
              </w:rPr>
            </w:pPr>
            <w:r>
              <w:t>2207</w:t>
            </w:r>
          </w:p>
        </w:tc>
      </w:tr>
      <w:tr w:rsidR="00CA0942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42" w:rsidRDefault="00D057A6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42" w:rsidRDefault="00D057A6">
            <w:pPr>
              <w:pStyle w:val="Bezodstpw"/>
              <w:rPr>
                <w:rFonts w:hint="eastAsia"/>
              </w:rPr>
            </w:pPr>
            <w:r>
              <w:t>część działki nr 254/14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42" w:rsidRDefault="00D057A6">
            <w:pPr>
              <w:pStyle w:val="Bezodstpw"/>
              <w:jc w:val="right"/>
              <w:rPr>
                <w:rFonts w:hint="eastAsia"/>
              </w:rPr>
            </w:pPr>
            <w:r>
              <w:t>2210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42" w:rsidRDefault="00D057A6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42" w:rsidRDefault="00D057A6">
            <w:pPr>
              <w:pStyle w:val="Bezodstpw"/>
              <w:rPr>
                <w:rFonts w:hint="eastAsia"/>
              </w:rPr>
            </w:pPr>
            <w:r>
              <w:t>część działki nr 254/19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42" w:rsidRDefault="00D057A6">
            <w:pPr>
              <w:pStyle w:val="Bezodstpw"/>
              <w:jc w:val="right"/>
              <w:rPr>
                <w:rFonts w:hint="eastAsia"/>
              </w:rPr>
            </w:pPr>
            <w:r>
              <w:t>546</w:t>
            </w:r>
          </w:p>
        </w:tc>
      </w:tr>
      <w:tr w:rsidR="00CA0942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42" w:rsidRDefault="00D057A6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42" w:rsidRDefault="00D057A6">
            <w:pPr>
              <w:pStyle w:val="Bezodstpw"/>
              <w:rPr>
                <w:rFonts w:hint="eastAsia"/>
              </w:rPr>
            </w:pPr>
            <w:r>
              <w:t>działka nr 254/12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42" w:rsidRDefault="00D057A6">
            <w:pPr>
              <w:pStyle w:val="Bezodstpw"/>
              <w:jc w:val="right"/>
              <w:rPr>
                <w:rFonts w:hint="eastAsia"/>
              </w:rPr>
            </w:pPr>
            <w:r>
              <w:t>4602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42" w:rsidRDefault="00D057A6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42" w:rsidRDefault="00D057A6">
            <w:pPr>
              <w:pStyle w:val="Bezodstpw"/>
              <w:rPr>
                <w:rFonts w:hint="eastAsia"/>
              </w:rPr>
            </w:pPr>
            <w:r>
              <w:t>część działki nr 254/19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42" w:rsidRDefault="00D057A6">
            <w:pPr>
              <w:pStyle w:val="Bezodstpw"/>
              <w:jc w:val="right"/>
              <w:rPr>
                <w:rFonts w:hint="eastAsia"/>
              </w:rPr>
            </w:pPr>
            <w:r>
              <w:t>556</w:t>
            </w:r>
          </w:p>
        </w:tc>
      </w:tr>
      <w:tr w:rsidR="00CA0942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42" w:rsidRDefault="00D057A6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42" w:rsidRDefault="00D057A6">
            <w:pPr>
              <w:pStyle w:val="Bezodstpw"/>
              <w:rPr>
                <w:rFonts w:hint="eastAsia"/>
              </w:rPr>
            </w:pPr>
            <w:r>
              <w:t>działka nr 254/11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42" w:rsidRDefault="00D057A6">
            <w:pPr>
              <w:pStyle w:val="Bezodstpw"/>
              <w:jc w:val="right"/>
              <w:rPr>
                <w:rFonts w:hint="eastAsia"/>
              </w:rPr>
            </w:pPr>
            <w:r>
              <w:t>4655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42" w:rsidRDefault="00D057A6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42" w:rsidRDefault="00D057A6">
            <w:pPr>
              <w:pStyle w:val="Bezodstpw"/>
              <w:rPr>
                <w:rFonts w:hint="eastAsia"/>
              </w:rPr>
            </w:pPr>
            <w:r>
              <w:t>część działki nr 254/19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42" w:rsidRDefault="00D057A6">
            <w:pPr>
              <w:pStyle w:val="Bezodstpw"/>
              <w:jc w:val="right"/>
              <w:rPr>
                <w:rFonts w:hint="eastAsia"/>
              </w:rPr>
            </w:pPr>
            <w:r>
              <w:t>1085</w:t>
            </w:r>
          </w:p>
        </w:tc>
      </w:tr>
      <w:tr w:rsidR="00CA0942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42" w:rsidRDefault="00D057A6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42" w:rsidRDefault="00D057A6">
            <w:pPr>
              <w:pStyle w:val="Bezodstpw"/>
              <w:rPr>
                <w:rFonts w:hint="eastAsia"/>
              </w:rPr>
            </w:pPr>
            <w:r>
              <w:t>działka nr 254/10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42" w:rsidRDefault="00D057A6">
            <w:pPr>
              <w:pStyle w:val="Bezodstpw"/>
              <w:jc w:val="right"/>
              <w:rPr>
                <w:rFonts w:hint="eastAsia"/>
              </w:rPr>
            </w:pPr>
            <w:r>
              <w:t>4711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42" w:rsidRDefault="00D057A6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42" w:rsidRDefault="00D057A6">
            <w:pPr>
              <w:pStyle w:val="Bezodstpw"/>
              <w:rPr>
                <w:rFonts w:hint="eastAsia"/>
              </w:rPr>
            </w:pPr>
            <w:r>
              <w:t>działka  nr 254/18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42" w:rsidRDefault="00D057A6">
            <w:pPr>
              <w:pStyle w:val="Bezodstpw"/>
              <w:jc w:val="right"/>
              <w:rPr>
                <w:rFonts w:hint="eastAsia"/>
              </w:rPr>
            </w:pPr>
            <w:r>
              <w:t>4423</w:t>
            </w:r>
          </w:p>
        </w:tc>
      </w:tr>
      <w:tr w:rsidR="00CA0942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42" w:rsidRDefault="00D057A6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42" w:rsidRDefault="00D057A6">
            <w:pPr>
              <w:pStyle w:val="Bezodstpw"/>
              <w:rPr>
                <w:rFonts w:hint="eastAsia"/>
              </w:rPr>
            </w:pPr>
            <w:r>
              <w:t xml:space="preserve">działka nr 254/9 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42" w:rsidRDefault="00D057A6">
            <w:pPr>
              <w:pStyle w:val="Bezodstpw"/>
              <w:jc w:val="right"/>
              <w:rPr>
                <w:rFonts w:hint="eastAsia"/>
              </w:rPr>
            </w:pPr>
            <w:r>
              <w:t>4767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42" w:rsidRDefault="00D057A6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42" w:rsidRDefault="00D057A6">
            <w:pPr>
              <w:pStyle w:val="Bezodstpw"/>
              <w:rPr>
                <w:rFonts w:hint="eastAsia"/>
              </w:rPr>
            </w:pPr>
            <w:r>
              <w:t>działka  nr 254/17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42" w:rsidRDefault="00D057A6">
            <w:pPr>
              <w:pStyle w:val="Bezodstpw"/>
              <w:jc w:val="right"/>
              <w:rPr>
                <w:rFonts w:hint="eastAsia"/>
              </w:rPr>
            </w:pPr>
            <w:r>
              <w:t>4421</w:t>
            </w:r>
          </w:p>
        </w:tc>
      </w:tr>
      <w:tr w:rsidR="00CA0942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42" w:rsidRDefault="00D057A6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42" w:rsidRDefault="00D057A6">
            <w:pPr>
              <w:pStyle w:val="Bezodstpw"/>
              <w:rPr>
                <w:rFonts w:hint="eastAsia"/>
              </w:rPr>
            </w:pPr>
            <w:r>
              <w:t>część działki nr 254/8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42" w:rsidRDefault="00D057A6">
            <w:pPr>
              <w:pStyle w:val="Bezodstpw"/>
              <w:jc w:val="right"/>
              <w:rPr>
                <w:rFonts w:hint="eastAsia"/>
              </w:rPr>
            </w:pPr>
            <w:r>
              <w:t>1142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42" w:rsidRDefault="00D057A6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42" w:rsidRDefault="00D057A6">
            <w:pPr>
              <w:pStyle w:val="Bezodstpw"/>
              <w:rPr>
                <w:rFonts w:hint="eastAsia"/>
              </w:rPr>
            </w:pPr>
            <w:r>
              <w:t>działka  nr 254/16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42" w:rsidRDefault="00D057A6">
            <w:pPr>
              <w:pStyle w:val="Bezodstpw"/>
              <w:jc w:val="right"/>
              <w:rPr>
                <w:rFonts w:hint="eastAsia"/>
              </w:rPr>
            </w:pPr>
            <w:r>
              <w:t>4421</w:t>
            </w:r>
          </w:p>
        </w:tc>
      </w:tr>
      <w:tr w:rsidR="00CA0942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42" w:rsidRDefault="00D057A6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42" w:rsidRDefault="00D057A6">
            <w:pPr>
              <w:pStyle w:val="Bezodstpw"/>
              <w:rPr>
                <w:rFonts w:hint="eastAsia"/>
              </w:rPr>
            </w:pPr>
            <w:r>
              <w:t>część działki nr 254/8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42" w:rsidRDefault="00D057A6">
            <w:pPr>
              <w:pStyle w:val="Bezodstpw"/>
              <w:jc w:val="right"/>
              <w:rPr>
                <w:rFonts w:hint="eastAsia"/>
              </w:rPr>
            </w:pPr>
            <w:r>
              <w:t>657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42" w:rsidRDefault="00D057A6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42" w:rsidRDefault="00D057A6">
            <w:pPr>
              <w:pStyle w:val="Bezodstpw"/>
              <w:rPr>
                <w:rFonts w:hint="eastAsia"/>
              </w:rPr>
            </w:pPr>
            <w:r>
              <w:t>działka  nr 254/15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942" w:rsidRDefault="00D057A6">
            <w:pPr>
              <w:pStyle w:val="Bezodstpw"/>
              <w:jc w:val="right"/>
              <w:rPr>
                <w:rFonts w:hint="eastAsia"/>
              </w:rPr>
            </w:pPr>
            <w:r>
              <w:t>4422</w:t>
            </w:r>
          </w:p>
        </w:tc>
      </w:tr>
    </w:tbl>
    <w:p w:rsidR="00CA0942" w:rsidRDefault="00CA0942">
      <w:pPr>
        <w:pStyle w:val="Bezodstpw"/>
        <w:rPr>
          <w:rFonts w:hint="eastAsia"/>
        </w:rPr>
      </w:pPr>
    </w:p>
    <w:p w:rsidR="00CA0942" w:rsidRDefault="00D057A6">
      <w:pPr>
        <w:pStyle w:val="Bezodstpw"/>
        <w:jc w:val="both"/>
        <w:rPr>
          <w:rFonts w:hint="eastAsia"/>
        </w:rPr>
      </w:pPr>
      <w:r>
        <w:t xml:space="preserve">Nieruchomości położone są w obrębie ewidencyjnym nr 0010, </w:t>
      </w:r>
      <w:r>
        <w:t>dla których Wydział Ksiąg Wieczystych Sądu Rejonowego w Świnoujściu prowadzi księgę wieczystą nr SZ1W/00053910/3. Dział III i IV księgi wieczystej nie wykazuje obciążeń.</w:t>
      </w:r>
    </w:p>
    <w:p w:rsidR="00CA0942" w:rsidRDefault="00CA0942">
      <w:pPr>
        <w:pStyle w:val="Bezodstpw"/>
        <w:jc w:val="both"/>
        <w:rPr>
          <w:rFonts w:hint="eastAsia"/>
          <w:b/>
        </w:rPr>
      </w:pPr>
    </w:p>
    <w:p w:rsidR="00CA0942" w:rsidRDefault="00D057A6">
      <w:pPr>
        <w:pStyle w:val="Bezodstpw"/>
        <w:jc w:val="both"/>
        <w:rPr>
          <w:rFonts w:hint="eastAsia"/>
        </w:rPr>
      </w:pPr>
      <w:r>
        <w:rPr>
          <w:b/>
        </w:rPr>
        <w:t>II Opis, przeznaczenie i sposób zagospodarowania nieruchomości</w:t>
      </w:r>
      <w:r>
        <w:rPr>
          <w:rStyle w:val="StrongEmphasis"/>
          <w:rFonts w:ascii="Times New Roman" w:hAnsi="Times New Roman" w:cs="Times New Roman"/>
          <w:b w:val="0"/>
          <w:bCs w:val="0"/>
          <w:szCs w:val="24"/>
        </w:rPr>
        <w:t xml:space="preserve">: </w:t>
      </w:r>
      <w:r>
        <w:t>działki położone są n</w:t>
      </w:r>
      <w:r>
        <w:t>a przedłużeniu ulicy Portowej na terenie MULNIKA, w pobliżu nabrzeża Nr 91. Wszystkie działki są skomunikowane z drogami gminnymi (w trakcie realizacji przez Gminę), oznaczonymi w mpzp symbolem 10.III.KDL i 18.III.KDL.</w:t>
      </w:r>
    </w:p>
    <w:p w:rsidR="00CA0942" w:rsidRDefault="00D057A6">
      <w:pPr>
        <w:pStyle w:val="Bezodstpw"/>
        <w:jc w:val="both"/>
        <w:rPr>
          <w:rFonts w:hint="eastAsia"/>
        </w:rPr>
      </w:pPr>
      <w:r>
        <w:t>Działki położone są na terenie oznacz</w:t>
      </w:r>
      <w:r>
        <w:t>onym w mpzp symbolem PS.III.A.45 – tereny produkcyjno składowe z możliwością realizowania obiektów produkcyjnych i usługowych, magazynowych i składowych; Dzierżawca zobowiązany jest do uzyskania ostatecznej i prawomocnej decyzji o pozwoleniu na użytkowanie</w:t>
      </w:r>
      <w:r>
        <w:t xml:space="preserve"> inwestycji zrealizowanej zgodnie z umową i zaakceptowaną przez Wydzierżawiającego dokumentacją w terminie 24 miesięcy od dnia podpisania umowy.</w:t>
      </w:r>
    </w:p>
    <w:p w:rsidR="00CA0942" w:rsidRDefault="00CA0942">
      <w:pPr>
        <w:pStyle w:val="Bezodstpw"/>
        <w:jc w:val="both"/>
        <w:rPr>
          <w:rFonts w:hint="eastAsia"/>
        </w:rPr>
      </w:pPr>
    </w:p>
    <w:p w:rsidR="00CA0942" w:rsidRDefault="00D057A6">
      <w:pPr>
        <w:pStyle w:val="Bezodstpw"/>
        <w:jc w:val="both"/>
        <w:rPr>
          <w:rFonts w:hint="eastAsia"/>
        </w:rPr>
      </w:pPr>
      <w:r>
        <w:rPr>
          <w:b/>
        </w:rPr>
        <w:t>III</w:t>
      </w:r>
      <w:r>
        <w:rPr>
          <w:rStyle w:val="StrongEmphasis"/>
          <w:rFonts w:ascii="Times New Roman" w:hAnsi="Times New Roman" w:cs="Times New Roman"/>
          <w:b w:val="0"/>
          <w:bCs w:val="0"/>
          <w:szCs w:val="24"/>
        </w:rPr>
        <w:t> </w:t>
      </w:r>
      <w:r>
        <w:rPr>
          <w:b/>
        </w:rPr>
        <w:t>Wywoławczy miesięczny czynsz dzierżawny:</w:t>
      </w:r>
      <w:r>
        <w:t xml:space="preserve"> 2,00 zł netto ( słownie: dwa złote ) za jeden metr kwadratowy gru</w:t>
      </w:r>
      <w:r>
        <w:t>ntu. Miesięczny czynsz dzierżawny stanowi najwyższa stawka czynszu zaproponowana przez Oferenta, plus należny podatek VAT w stawce obowiązującej. Na dzień ogłoszenia przetargu stawka podatku VAT wynosi 23 %.Wylicytowana stawka czynszu dzierżawnego nie podl</w:t>
      </w:r>
      <w:r>
        <w:t xml:space="preserve">ega obniżce w czasie trwania umowy dzierżawy. Przez okres dwóch lat od dnia podpisania umowy dzierżawy Dzierżawca będzie płacił </w:t>
      </w:r>
      <w:r>
        <w:rPr>
          <w:szCs w:val="24"/>
        </w:rPr>
        <w:t>10% wylicytowanej stawki netto czynszu dzierżawnego, która to kwota zostanie powiększona o podatek VAT w stawce obowiązującej.</w:t>
      </w:r>
    </w:p>
    <w:p w:rsidR="00CA0942" w:rsidRDefault="00CA0942">
      <w:pPr>
        <w:pStyle w:val="Bezodstpw"/>
        <w:jc w:val="both"/>
        <w:rPr>
          <w:rFonts w:ascii="Times New Roman" w:hAnsi="Times New Roman" w:cs="Times New Roman"/>
          <w:b/>
          <w:szCs w:val="24"/>
        </w:rPr>
      </w:pPr>
    </w:p>
    <w:p w:rsidR="00CA0942" w:rsidRDefault="00D057A6">
      <w:pPr>
        <w:pStyle w:val="Bezodstpw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bCs w:val="0"/>
          <w:szCs w:val="24"/>
        </w:rPr>
        <w:t>IV Terminy wnoszenia czynszu i zasady aktualizacji</w:t>
      </w:r>
      <w:r>
        <w:rPr>
          <w:rStyle w:val="StrongEmphasis"/>
          <w:rFonts w:ascii="Times New Roman" w:hAnsi="Times New Roman" w:cs="Times New Roman"/>
          <w:b w:val="0"/>
          <w:bCs w:val="0"/>
          <w:szCs w:val="24"/>
        </w:rPr>
        <w:t xml:space="preserve">: czynsz płatny </w:t>
      </w:r>
      <w:r>
        <w:t>w terminie do 10 dnia każdego miesiąca, z góry za dany miesiąc.</w:t>
      </w:r>
    </w:p>
    <w:p w:rsidR="00CA0942" w:rsidRDefault="00D057A6">
      <w:pPr>
        <w:pStyle w:val="Bezodstpw"/>
        <w:jc w:val="both"/>
        <w:rPr>
          <w:rFonts w:hint="eastAsia"/>
        </w:rPr>
      </w:pPr>
      <w:r>
        <w:lastRenderedPageBreak/>
        <w:t>W przypadku wzrostu cen czynsz dzierżawny może być corocznie waloryzowany w oparciu o wskaźnik cen towarów i usług konsumpcyjn</w:t>
      </w:r>
      <w:r>
        <w:t xml:space="preserve">ych w okresie pierwszych trzech kwartałów, publikowany w formie komunikatów Prezesa Głównego Urzędu Statystycznego w Monitorze Polskim. </w:t>
      </w:r>
    </w:p>
    <w:p w:rsidR="00CA0942" w:rsidRDefault="00D057A6">
      <w:pPr>
        <w:pStyle w:val="Bezodstpw"/>
        <w:jc w:val="both"/>
        <w:rPr>
          <w:rFonts w:hint="eastAsia"/>
        </w:rPr>
      </w:pPr>
      <w:r>
        <w:rPr>
          <w:b/>
        </w:rPr>
        <w:t>V</w:t>
      </w:r>
      <w:r>
        <w:rPr>
          <w:rStyle w:val="StrongEmphasis"/>
          <w:bCs w:val="0"/>
        </w:rPr>
        <w:t> Postąpienie dla nieruchomości:</w:t>
      </w:r>
      <w:r>
        <w:rPr>
          <w:rStyle w:val="StrongEmphasis"/>
          <w:b w:val="0"/>
          <w:bCs w:val="0"/>
        </w:rPr>
        <w:t xml:space="preserve"> dla każdej nieruchomości oznaczonej w pkt. I niniejszego ogłoszenia postąpienie wynosi</w:t>
      </w:r>
      <w:r>
        <w:rPr>
          <w:rStyle w:val="StrongEmphasis"/>
          <w:b w:val="0"/>
          <w:bCs w:val="0"/>
        </w:rPr>
        <w:t xml:space="preserve">: 0,10 zł </w:t>
      </w:r>
      <w:r>
        <w:t>bądź wielokrotność tej kwoty, o którą powiększa się czynsz wywoławczy za 1 m</w:t>
      </w:r>
      <w:r>
        <w:rPr>
          <w:vertAlign w:val="superscript"/>
        </w:rPr>
        <w:t>2</w:t>
      </w:r>
      <w:r>
        <w:t xml:space="preserve"> gruntu określony w pkt. III.</w:t>
      </w:r>
    </w:p>
    <w:p w:rsidR="00CA0942" w:rsidRDefault="00CA0942">
      <w:pPr>
        <w:pStyle w:val="Bezodstpw"/>
        <w:jc w:val="both"/>
        <w:rPr>
          <w:rFonts w:hint="eastAsia"/>
        </w:rPr>
      </w:pPr>
    </w:p>
    <w:p w:rsidR="00CA0942" w:rsidRDefault="00D057A6">
      <w:pPr>
        <w:pStyle w:val="Bezodstpw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bCs w:val="0"/>
          <w:szCs w:val="24"/>
        </w:rPr>
        <w:t>VI Wysokość wadium, forma, termin i miejsce jego wniesienia:</w:t>
      </w:r>
    </w:p>
    <w:p w:rsidR="00CA0942" w:rsidRDefault="00D057A6">
      <w:pPr>
        <w:pStyle w:val="Bezodstpw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b w:val="0"/>
          <w:bCs w:val="0"/>
          <w:szCs w:val="24"/>
        </w:rPr>
        <w:t>1) dla nieruchomości oznaczonych w pkt. I niniejszego ogłoszenia dla Numerów:</w:t>
      </w:r>
    </w:p>
    <w:p w:rsidR="00CA0942" w:rsidRDefault="00D057A6">
      <w:pPr>
        <w:pStyle w:val="Bezodstpw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b w:val="0"/>
          <w:bCs w:val="0"/>
          <w:szCs w:val="24"/>
        </w:rPr>
        <w:t xml:space="preserve">a) 1, 2, 3, 4, 12 i 13 - </w:t>
      </w:r>
      <w:r>
        <w:t>wadium ustala się w wysokości 5.000,00 zł (słownie: pięć tysięcy złotych 00/100),</w:t>
      </w:r>
    </w:p>
    <w:p w:rsidR="00CA0942" w:rsidRDefault="00D057A6">
      <w:pPr>
        <w:pStyle w:val="Bezodstpw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b w:val="0"/>
          <w:bCs w:val="0"/>
          <w:szCs w:val="24"/>
        </w:rPr>
        <w:t xml:space="preserve">b) 5, 6, 7, 8, 17, 18, 19 i 20 - </w:t>
      </w:r>
      <w:r>
        <w:t>wadium ustala się w wysokości 10.000,00 zł (słownie: dziesięć tysięcy złotych 00/100);</w:t>
      </w:r>
    </w:p>
    <w:p w:rsidR="00CA0942" w:rsidRDefault="00D057A6">
      <w:pPr>
        <w:pStyle w:val="Bezodstpw"/>
        <w:jc w:val="both"/>
        <w:rPr>
          <w:rFonts w:hint="eastAsia"/>
        </w:rPr>
      </w:pPr>
      <w:r>
        <w:t xml:space="preserve">c) 9, 10, 11, 14, 15 i 16 - </w:t>
      </w:r>
      <w:r>
        <w:t>wadium ustala się w wysokości 2.500,00 zł (słownie: dwa tysiące pięćset złotych 00/100).</w:t>
      </w:r>
    </w:p>
    <w:p w:rsidR="00CA0942" w:rsidRDefault="00D057A6">
      <w:pPr>
        <w:pStyle w:val="Bezodstpw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b w:val="0"/>
          <w:bCs w:val="0"/>
          <w:szCs w:val="24"/>
        </w:rPr>
        <w:t>2</w:t>
      </w:r>
      <w:r>
        <w:t xml:space="preserve">) wadium należy wnieść najpóźniej </w:t>
      </w:r>
      <w:r>
        <w:rPr>
          <w:rStyle w:val="StrongEmphasis"/>
          <w:rFonts w:ascii="Times New Roman" w:hAnsi="Times New Roman" w:cs="Times New Roman"/>
          <w:b w:val="0"/>
          <w:bCs w:val="0"/>
          <w:szCs w:val="24"/>
        </w:rPr>
        <w:t xml:space="preserve">do dnia </w:t>
      </w:r>
      <w:r>
        <w:rPr>
          <w:rStyle w:val="StrongEmphasis"/>
          <w:rFonts w:ascii="Times New Roman" w:hAnsi="Times New Roman" w:cs="Times New Roman"/>
          <w:bCs w:val="0"/>
          <w:szCs w:val="24"/>
        </w:rPr>
        <w:t>05 listopada 2020 roku</w:t>
      </w:r>
      <w:r>
        <w:t xml:space="preserve"> w podanej powyżej wysokości z oznaczeniem </w:t>
      </w:r>
      <w:r>
        <w:rPr>
          <w:b/>
        </w:rPr>
        <w:t>„Przetarg – dzierżawa MULNIK”</w:t>
      </w:r>
      <w:r>
        <w:t>, na konto depozytów Miasta Św</w:t>
      </w:r>
      <w:r>
        <w:t>inoujście: Pekao S.A.</w:t>
      </w:r>
      <w:r>
        <w:rPr>
          <w:b/>
        </w:rPr>
        <w:t xml:space="preserve"> nr 27 1240 3914 1111 0010 0965 1187</w:t>
      </w:r>
      <w:r>
        <w:t>; termin zapłaty oznacza faktyczny wpływ środków na konto bankowe;</w:t>
      </w:r>
    </w:p>
    <w:p w:rsidR="00CA0942" w:rsidRDefault="00D057A6">
      <w:pPr>
        <w:pStyle w:val="Bezodstpw"/>
        <w:jc w:val="both"/>
        <w:rPr>
          <w:rFonts w:hint="eastAsia"/>
        </w:rPr>
      </w:pPr>
      <w:r>
        <w:t xml:space="preserve">3) wadium wpłacone przez uczestnika przetargu, który został ustalony jako dzierżawca, zostanie zaliczone na poczet czynszu za </w:t>
      </w:r>
      <w:r>
        <w:t>dzierżawę nieruchomości;</w:t>
      </w:r>
    </w:p>
    <w:p w:rsidR="00CA0942" w:rsidRDefault="00D057A6">
      <w:pPr>
        <w:pStyle w:val="Bezodstpw"/>
        <w:jc w:val="both"/>
        <w:rPr>
          <w:rFonts w:hint="eastAsia"/>
        </w:rPr>
      </w:pPr>
      <w:r>
        <w:t>4) pozostałym uczestnikom przetargu wadium zwraca się niezwłocznie, nie później niż w ciągu 3 dni roboczych po zakończeniu przetargu, na rachunki wskazane przez uczestników przetargu;</w:t>
      </w:r>
    </w:p>
    <w:p w:rsidR="00CA0942" w:rsidRDefault="00D057A6">
      <w:pPr>
        <w:pStyle w:val="Bezodstpw"/>
        <w:jc w:val="both"/>
        <w:rPr>
          <w:rFonts w:hint="eastAsia"/>
        </w:rPr>
      </w:pPr>
      <w:r>
        <w:t>5) w przypadku unieważnienia lub odwołania prze</w:t>
      </w:r>
      <w:r>
        <w:t>targu wadium zwraca się w sposób określony w pkt VI pkt 4).</w:t>
      </w:r>
    </w:p>
    <w:p w:rsidR="00CA0942" w:rsidRDefault="00CA0942">
      <w:pPr>
        <w:pStyle w:val="Bezodstpw"/>
        <w:jc w:val="both"/>
        <w:rPr>
          <w:rFonts w:hint="eastAsia"/>
        </w:rPr>
      </w:pPr>
    </w:p>
    <w:p w:rsidR="00CA0942" w:rsidRDefault="00D057A6">
      <w:pPr>
        <w:pStyle w:val="Bezodstpw"/>
        <w:jc w:val="both"/>
        <w:rPr>
          <w:rFonts w:hint="eastAsia"/>
        </w:rPr>
      </w:pPr>
      <w:r>
        <w:rPr>
          <w:b/>
          <w:bCs/>
        </w:rPr>
        <w:t>VII</w:t>
      </w:r>
      <w:r>
        <w:rPr>
          <w:rStyle w:val="StrongEmphasis"/>
          <w:rFonts w:ascii="Times New Roman" w:hAnsi="Times New Roman" w:cs="Times New Roman"/>
          <w:b w:val="0"/>
          <w:szCs w:val="24"/>
        </w:rPr>
        <w:t> </w:t>
      </w:r>
      <w:r>
        <w:rPr>
          <w:rStyle w:val="StrongEmphasis"/>
          <w:rFonts w:ascii="Times New Roman" w:hAnsi="Times New Roman" w:cs="Times New Roman"/>
          <w:szCs w:val="24"/>
        </w:rPr>
        <w:t>Kryteria wyboru oferty:</w:t>
      </w:r>
      <w:r>
        <w:rPr>
          <w:rStyle w:val="StrongEmphasis"/>
          <w:rFonts w:ascii="Times New Roman" w:hAnsi="Times New Roman" w:cs="Times New Roman"/>
          <w:b w:val="0"/>
          <w:szCs w:val="24"/>
        </w:rPr>
        <w:t xml:space="preserve"> </w:t>
      </w:r>
      <w:r>
        <w:rPr>
          <w:bCs/>
        </w:rPr>
        <w:t>jedynym kryterium wyboru oferty jest wysokość czynszu dzierżawnego za 1m</w:t>
      </w:r>
      <w:r>
        <w:rPr>
          <w:bCs/>
          <w:vertAlign w:val="superscript"/>
        </w:rPr>
        <w:t>2</w:t>
      </w:r>
      <w:r>
        <w:rPr>
          <w:bCs/>
        </w:rPr>
        <w:t xml:space="preserve"> gruntu; oferta z najwyższym czynszem dzierżawnym stanowić będzie ofertę najkorzystniejszą; wy</w:t>
      </w:r>
      <w:r>
        <w:rPr>
          <w:bCs/>
        </w:rPr>
        <w:t>sokość czynszu podana w ofercie powinna być wyższa od wysokości czynszu określonego w pkt III niniejszego ogłoszenia.</w:t>
      </w:r>
    </w:p>
    <w:p w:rsidR="00CA0942" w:rsidRDefault="00CA0942">
      <w:pPr>
        <w:pStyle w:val="Bezodstpw"/>
        <w:jc w:val="both"/>
        <w:rPr>
          <w:rFonts w:hint="eastAsia"/>
        </w:rPr>
      </w:pPr>
    </w:p>
    <w:p w:rsidR="00CA0942" w:rsidRDefault="00D057A6">
      <w:pPr>
        <w:pStyle w:val="Bezodstpw"/>
        <w:jc w:val="both"/>
        <w:rPr>
          <w:rFonts w:hint="eastAsia"/>
        </w:rPr>
      </w:pPr>
      <w:r>
        <w:rPr>
          <w:b/>
        </w:rPr>
        <w:t>VIII</w:t>
      </w:r>
      <w:r>
        <w:rPr>
          <w:rStyle w:val="StrongEmphasis"/>
          <w:rFonts w:ascii="Times New Roman" w:hAnsi="Times New Roman" w:cs="Times New Roman"/>
          <w:b w:val="0"/>
          <w:bCs w:val="0"/>
          <w:szCs w:val="24"/>
        </w:rPr>
        <w:t> </w:t>
      </w:r>
      <w:r>
        <w:rPr>
          <w:b/>
        </w:rPr>
        <w:t>Termin i miejsce składania pisemnych ofert:</w:t>
      </w:r>
      <w:r>
        <w:rPr>
          <w:rStyle w:val="StrongEmphasis"/>
          <w:rFonts w:ascii="Times New Roman" w:hAnsi="Times New Roman" w:cs="Times New Roman"/>
          <w:b w:val="0"/>
          <w:bCs w:val="0"/>
          <w:szCs w:val="24"/>
        </w:rPr>
        <w:t xml:space="preserve"> </w:t>
      </w:r>
      <w:r>
        <w:t xml:space="preserve">oferty należy składać pocztą (decyduje data wpływu oferty do Urzędu Miasta Świnoujście, </w:t>
      </w:r>
      <w:r>
        <w:t xml:space="preserve">a nie data stempla pocztowego) lub złożyć w zamkniętej kopercie, uniemożliwiającej identyfikację Oferenta, z zamieszczoną adnotacją </w:t>
      </w:r>
      <w:r>
        <w:rPr>
          <w:b/>
        </w:rPr>
        <w:t>"Oferta: przetarg – dzierżawa MULNIK”</w:t>
      </w:r>
      <w:r>
        <w:t xml:space="preserve"> na stanowisku Wydziału Ewidencji i Obrotu Nieruchomościami w Biurze Obsługi Interesant</w:t>
      </w:r>
      <w:r>
        <w:t xml:space="preserve">a na parterze budynku głównym Urzędu Miasta przy ulicy Wojska Polskiego 1/5, </w:t>
      </w:r>
      <w:r>
        <w:rPr>
          <w:rFonts w:ascii="Times New Roman" w:hAnsi="Times New Roman" w:cs="Times New Roman"/>
        </w:rPr>
        <w:t xml:space="preserve">w terminie </w:t>
      </w:r>
      <w:r>
        <w:rPr>
          <w:rStyle w:val="StrongEmphasis"/>
          <w:rFonts w:ascii="Times New Roman" w:hAnsi="Times New Roman" w:cs="Times New Roman"/>
          <w:b w:val="0"/>
          <w:bCs w:val="0"/>
          <w:szCs w:val="24"/>
        </w:rPr>
        <w:t xml:space="preserve">do dnia </w:t>
      </w:r>
      <w:r>
        <w:rPr>
          <w:rStyle w:val="StrongEmphasis"/>
          <w:rFonts w:ascii="Times New Roman" w:hAnsi="Times New Roman" w:cs="Times New Roman"/>
          <w:bCs w:val="0"/>
          <w:szCs w:val="24"/>
        </w:rPr>
        <w:t>10 listopada 2020 roku do godz. 14</w:t>
      </w:r>
      <w:r>
        <w:rPr>
          <w:rStyle w:val="StrongEmphasis"/>
          <w:rFonts w:ascii="Times New Roman" w:hAnsi="Times New Roman" w:cs="Times New Roman"/>
          <w:bCs w:val="0"/>
          <w:szCs w:val="24"/>
          <w:vertAlign w:val="superscript"/>
        </w:rPr>
        <w:t>00</w:t>
      </w:r>
    </w:p>
    <w:p w:rsidR="00CA0942" w:rsidRDefault="00D057A6">
      <w:pPr>
        <w:pStyle w:val="Bezodstpw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b w:val="0"/>
          <w:bCs w:val="0"/>
          <w:szCs w:val="24"/>
        </w:rPr>
        <w:t xml:space="preserve">Dodatkowe </w:t>
      </w:r>
      <w:r>
        <w:t>informacje można uzyskać w Wydziale Ewidencji i Obrotu Nieruchomościami (WEN) tel. 91 327 86 23, 91 327 86 12 lub</w:t>
      </w:r>
      <w:r>
        <w:t xml:space="preserve"> Wydziale Rozwoju Gospodarczego (WRG) tel. 91 327 86 06 Urzędu Miasta Świnoujście, ul. Wojska Polskiego 1/5.</w:t>
      </w:r>
    </w:p>
    <w:p w:rsidR="00CA0942" w:rsidRDefault="00CA0942">
      <w:pPr>
        <w:pStyle w:val="Bezodstpw"/>
        <w:jc w:val="both"/>
        <w:rPr>
          <w:rFonts w:hint="eastAsia"/>
        </w:rPr>
      </w:pPr>
    </w:p>
    <w:p w:rsidR="00CA0942" w:rsidRDefault="00D057A6">
      <w:pPr>
        <w:pStyle w:val="Textbody"/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>IX</w:t>
      </w:r>
      <w:r>
        <w:rPr>
          <w:rStyle w:val="StrongEmphasis"/>
          <w:rFonts w:ascii="Times New Roman" w:hAnsi="Times New Roman" w:cs="Times New Roman"/>
          <w:b w:val="0"/>
          <w:bCs w:val="0"/>
        </w:rPr>
        <w:t> </w:t>
      </w:r>
      <w:r>
        <w:rPr>
          <w:rStyle w:val="StrongEmphasis"/>
          <w:rFonts w:ascii="Times New Roman" w:hAnsi="Times New Roman" w:cs="Times New Roman"/>
          <w:bCs w:val="0"/>
        </w:rPr>
        <w:t>Termin i miejsce części jawnej przetargu:</w:t>
      </w:r>
      <w:r>
        <w:rPr>
          <w:rStyle w:val="StrongEmphasis"/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</w:rPr>
        <w:t>otwarcie ofert odbędzie się </w:t>
      </w:r>
      <w:r>
        <w:rPr>
          <w:rStyle w:val="StrongEmphasis"/>
          <w:rFonts w:ascii="Times New Roman" w:hAnsi="Times New Roman" w:cs="Times New Roman"/>
          <w:b w:val="0"/>
          <w:bCs w:val="0"/>
        </w:rPr>
        <w:t>w dniu 12 listopada 2020 roku o godz. 10.00</w:t>
      </w:r>
      <w:r>
        <w:rPr>
          <w:rFonts w:ascii="Times New Roman" w:hAnsi="Times New Roman" w:cs="Times New Roman"/>
        </w:rPr>
        <w:t> w siedzibie Urzędu Miasta Świ</w:t>
      </w:r>
      <w:r>
        <w:rPr>
          <w:rFonts w:ascii="Times New Roman" w:hAnsi="Times New Roman" w:cs="Times New Roman"/>
        </w:rPr>
        <w:t>noujście przy ulicy Wojska Polskiego 1/5, parter, sala Nr 1.</w:t>
      </w:r>
    </w:p>
    <w:p w:rsidR="00CA0942" w:rsidRDefault="00D057A6">
      <w:pPr>
        <w:pStyle w:val="Textbody"/>
        <w:jc w:val="both"/>
        <w:rPr>
          <w:rFonts w:hint="eastAsia"/>
        </w:rPr>
      </w:pPr>
      <w:r>
        <w:rPr>
          <w:bCs/>
        </w:rPr>
        <w:t>1) Informacja o rozstrzygnięciu przetargu zostanie zamieszczona na tablicy ogłoszeń na okres 7 dni, a wszyscy, którzy złożyli oferty, o wyniku przetargu zostaną zawiadomieni odrębnym pismem w ter</w:t>
      </w:r>
      <w:r>
        <w:rPr>
          <w:bCs/>
        </w:rPr>
        <w:t>minie nie dłuższym niż 3 dni od dnia zamknięcia przetargu; oferent, który złożył najkorzystniejszą ofertę zostanie powiadomiony o terminie podpisania umowy;</w:t>
      </w:r>
    </w:p>
    <w:p w:rsidR="00CA0942" w:rsidRDefault="00D057A6">
      <w:pPr>
        <w:pStyle w:val="Bezodstpw"/>
        <w:jc w:val="both"/>
        <w:rPr>
          <w:rFonts w:hint="eastAsia"/>
          <w:bCs/>
        </w:rPr>
      </w:pPr>
      <w:r>
        <w:rPr>
          <w:bCs/>
        </w:rPr>
        <w:lastRenderedPageBreak/>
        <w:t xml:space="preserve">2) W przypadku złożenia równorzędnych ofert uznanych za najkorzystniejsze, komisja przetargowa </w:t>
      </w:r>
      <w:r>
        <w:rPr>
          <w:bCs/>
        </w:rPr>
        <w:t>organizuje dodatkowy przetarg ustny ograniczony do oferentów, którzy złożyli te oferty; przetarg uważa się za zamknięty z chwilą podpisania protokołu;</w:t>
      </w:r>
    </w:p>
    <w:p w:rsidR="00CA0942" w:rsidRDefault="00D057A6">
      <w:pPr>
        <w:pStyle w:val="Bezodstpw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bCs w:val="0"/>
          <w:szCs w:val="24"/>
        </w:rPr>
        <w:t>IX Zawarcie umowy dzierżawy i skutki uchylenia się od jej zawarcia</w:t>
      </w:r>
      <w:r>
        <w:rPr>
          <w:rStyle w:val="StrongEmphasis"/>
          <w:rFonts w:ascii="Times New Roman" w:hAnsi="Times New Roman" w:cs="Times New Roman"/>
          <w:b w:val="0"/>
          <w:bCs w:val="0"/>
          <w:szCs w:val="24"/>
        </w:rPr>
        <w:t xml:space="preserve">: Umowa dzierżawy zostanie zawarta w </w:t>
      </w:r>
      <w:r>
        <w:rPr>
          <w:rStyle w:val="StrongEmphasis"/>
          <w:rFonts w:ascii="Times New Roman" w:hAnsi="Times New Roman" w:cs="Times New Roman"/>
          <w:b w:val="0"/>
          <w:bCs w:val="0"/>
          <w:szCs w:val="24"/>
        </w:rPr>
        <w:t>terminie 27.11. – 03.12.2020 r, na czas oznaczony tj. 30 lat, z mocą obowiązywania od dnia 01 grudnia 2020r.</w:t>
      </w:r>
    </w:p>
    <w:p w:rsidR="00CA0942" w:rsidRDefault="00D057A6">
      <w:pPr>
        <w:pStyle w:val="Bezodstpw"/>
        <w:jc w:val="both"/>
        <w:rPr>
          <w:rFonts w:hint="eastAsia"/>
        </w:rPr>
      </w:pPr>
      <w:r>
        <w:t>W przypadku odstąpienia uczestnika przetargu, który przetarg wygrał, od zawarcia umowy następuje przepadek wadium na rzecz Gminy.</w:t>
      </w:r>
    </w:p>
    <w:p w:rsidR="00CA0942" w:rsidRDefault="00CA0942">
      <w:pPr>
        <w:pStyle w:val="Bezodstpw"/>
        <w:jc w:val="both"/>
        <w:rPr>
          <w:rFonts w:hint="eastAsia"/>
        </w:rPr>
      </w:pPr>
    </w:p>
    <w:p w:rsidR="00CA0942" w:rsidRDefault="00D057A6">
      <w:pPr>
        <w:pStyle w:val="Bezodstpw"/>
        <w:jc w:val="both"/>
        <w:rPr>
          <w:rFonts w:hint="eastAsia"/>
        </w:rPr>
      </w:pPr>
      <w:r>
        <w:rPr>
          <w:b/>
        </w:rPr>
        <w:t>X Warunki</w:t>
      </w:r>
      <w:r>
        <w:rPr>
          <w:rStyle w:val="StrongEmphasis"/>
          <w:rFonts w:ascii="Times New Roman" w:hAnsi="Times New Roman" w:cs="Times New Roman"/>
          <w:b w:val="0"/>
          <w:bCs w:val="0"/>
          <w:szCs w:val="24"/>
        </w:rPr>
        <w:t xml:space="preserve"> </w:t>
      </w:r>
      <w:r>
        <w:rPr>
          <w:rStyle w:val="StrongEmphasis"/>
          <w:rFonts w:ascii="Times New Roman" w:hAnsi="Times New Roman" w:cs="Times New Roman"/>
          <w:bCs w:val="0"/>
          <w:szCs w:val="24"/>
        </w:rPr>
        <w:t>uczest</w:t>
      </w:r>
      <w:r>
        <w:rPr>
          <w:rStyle w:val="StrongEmphasis"/>
          <w:rFonts w:ascii="Times New Roman" w:hAnsi="Times New Roman" w:cs="Times New Roman"/>
          <w:bCs w:val="0"/>
          <w:szCs w:val="24"/>
        </w:rPr>
        <w:t>nictwa w przetargu:</w:t>
      </w:r>
    </w:p>
    <w:p w:rsidR="00CA0942" w:rsidRDefault="00D057A6">
      <w:pPr>
        <w:pStyle w:val="Bezodstpw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b w:val="0"/>
          <w:bCs w:val="0"/>
          <w:szCs w:val="24"/>
        </w:rPr>
        <w:t>1)</w:t>
      </w:r>
      <w:r>
        <w:rPr>
          <w:bCs/>
        </w:rPr>
        <w:t>  wpłacenie wadium w wyżej podanej wysokości i terminie;</w:t>
      </w:r>
    </w:p>
    <w:p w:rsidR="00CA0942" w:rsidRDefault="00D057A6">
      <w:pPr>
        <w:pStyle w:val="Bezodstpw"/>
        <w:jc w:val="both"/>
        <w:rPr>
          <w:rFonts w:hint="eastAsia"/>
          <w:bCs/>
        </w:rPr>
      </w:pPr>
      <w:r>
        <w:rPr>
          <w:bCs/>
        </w:rPr>
        <w:t>2) złożenie pisemnej oferty w wyżej podanym terminie i miejscu;</w:t>
      </w:r>
    </w:p>
    <w:p w:rsidR="00CA0942" w:rsidRDefault="00D057A6">
      <w:pPr>
        <w:pStyle w:val="Bezodstpw"/>
        <w:jc w:val="both"/>
        <w:rPr>
          <w:rFonts w:hint="eastAsia"/>
          <w:bCs/>
        </w:rPr>
      </w:pPr>
      <w:r>
        <w:rPr>
          <w:bCs/>
        </w:rPr>
        <w:t>3) oferty złożone po wyznaczonym terminie, nieczytelne lub niezawierające wymaganych elementów, nie będą rozpatry</w:t>
      </w:r>
      <w:r>
        <w:rPr>
          <w:bCs/>
        </w:rPr>
        <w:t>wane.</w:t>
      </w:r>
    </w:p>
    <w:p w:rsidR="00CA0942" w:rsidRDefault="00CA0942">
      <w:pPr>
        <w:pStyle w:val="Bezodstpw"/>
        <w:jc w:val="both"/>
        <w:rPr>
          <w:rFonts w:hint="eastAsia"/>
          <w:bCs/>
        </w:rPr>
      </w:pPr>
    </w:p>
    <w:p w:rsidR="00CA0942" w:rsidRDefault="00D057A6">
      <w:pPr>
        <w:pStyle w:val="Bezodstpw"/>
        <w:jc w:val="both"/>
        <w:rPr>
          <w:rFonts w:hint="eastAsia"/>
        </w:rPr>
      </w:pPr>
      <w:r>
        <w:rPr>
          <w:b/>
          <w:bCs/>
        </w:rPr>
        <w:t>XI</w:t>
      </w:r>
      <w:r>
        <w:rPr>
          <w:rStyle w:val="StrongEmphasis"/>
          <w:rFonts w:ascii="Times New Roman" w:hAnsi="Times New Roman" w:cs="Times New Roman"/>
          <w:b w:val="0"/>
          <w:szCs w:val="24"/>
        </w:rPr>
        <w:t> </w:t>
      </w:r>
      <w:r>
        <w:rPr>
          <w:rStyle w:val="StrongEmphasis"/>
          <w:rFonts w:ascii="Times New Roman" w:hAnsi="Times New Roman" w:cs="Times New Roman"/>
          <w:szCs w:val="24"/>
        </w:rPr>
        <w:t>Oferta powinna zawierać:</w:t>
      </w:r>
    </w:p>
    <w:p w:rsidR="00CA0942" w:rsidRDefault="00D057A6">
      <w:pPr>
        <w:pStyle w:val="Bezodstpw"/>
        <w:jc w:val="both"/>
        <w:rPr>
          <w:rFonts w:hint="eastAsia"/>
        </w:rPr>
      </w:pPr>
      <w:r>
        <w:rPr>
          <w:bCs/>
        </w:rPr>
        <w:t xml:space="preserve">1) wypełniony i podpisany </w:t>
      </w:r>
      <w:r>
        <w:rPr>
          <w:bCs/>
          <w:u w:val="single"/>
        </w:rPr>
        <w:t>Formularz Ofertowy</w:t>
      </w:r>
      <w:r>
        <w:rPr>
          <w:b/>
          <w:bCs/>
          <w:u w:val="single"/>
        </w:rPr>
        <w:t>*</w:t>
      </w:r>
      <w:r>
        <w:rPr>
          <w:b/>
          <w:bCs/>
        </w:rPr>
        <w:t>(</w:t>
      </w:r>
      <w:r>
        <w:rPr>
          <w:bCs/>
        </w:rPr>
        <w:t>Zał. Nr 1);</w:t>
      </w:r>
    </w:p>
    <w:p w:rsidR="00CA0942" w:rsidRDefault="00D057A6">
      <w:pPr>
        <w:pStyle w:val="Bezodstpw"/>
        <w:jc w:val="both"/>
        <w:rPr>
          <w:rFonts w:hint="eastAsia"/>
          <w:bCs/>
        </w:rPr>
      </w:pPr>
      <w:r>
        <w:rPr>
          <w:bCs/>
        </w:rPr>
        <w:t>2) kopię dowodu wniesienia wadium;</w:t>
      </w:r>
    </w:p>
    <w:p w:rsidR="00CA0942" w:rsidRDefault="00D057A6">
      <w:pPr>
        <w:pStyle w:val="Bezodstpw"/>
        <w:jc w:val="both"/>
        <w:rPr>
          <w:rFonts w:hint="eastAsia"/>
        </w:rPr>
      </w:pPr>
      <w:r>
        <w:rPr>
          <w:bCs/>
        </w:rPr>
        <w:t xml:space="preserve">3) podpisane </w:t>
      </w:r>
      <w:r>
        <w:rPr>
          <w:bCs/>
          <w:u w:val="single"/>
        </w:rPr>
        <w:t>Oświadczenie</w:t>
      </w:r>
      <w:r>
        <w:rPr>
          <w:bCs/>
        </w:rPr>
        <w:t>, że jest średnim, małym lub mikro przedsiębiorcą</w:t>
      </w:r>
      <w:r>
        <w:rPr>
          <w:b/>
          <w:bCs/>
        </w:rPr>
        <w:t>*</w:t>
      </w:r>
      <w:r>
        <w:rPr>
          <w:bCs/>
        </w:rPr>
        <w:t>(Zał. Nr 2).</w:t>
      </w:r>
    </w:p>
    <w:p w:rsidR="00CA0942" w:rsidRDefault="00CA0942">
      <w:pPr>
        <w:pStyle w:val="Bezodstpw"/>
        <w:jc w:val="both"/>
        <w:rPr>
          <w:rFonts w:hint="eastAsia"/>
          <w:bCs/>
        </w:rPr>
      </w:pPr>
    </w:p>
    <w:p w:rsidR="00CA0942" w:rsidRDefault="00D057A6">
      <w:pPr>
        <w:pStyle w:val="Bezodstpw"/>
        <w:jc w:val="both"/>
        <w:rPr>
          <w:rFonts w:hint="eastAsia"/>
        </w:rPr>
      </w:pPr>
      <w:r>
        <w:rPr>
          <w:b/>
          <w:bCs/>
        </w:rPr>
        <w:t>XII</w:t>
      </w:r>
      <w:r>
        <w:rPr>
          <w:rStyle w:val="StrongEmphasis"/>
          <w:rFonts w:ascii="Times New Roman" w:hAnsi="Times New Roman" w:cs="Times New Roman"/>
          <w:b w:val="0"/>
          <w:szCs w:val="24"/>
        </w:rPr>
        <w:t> </w:t>
      </w:r>
      <w:r>
        <w:rPr>
          <w:rStyle w:val="StrongEmphasis"/>
          <w:rFonts w:ascii="Times New Roman" w:hAnsi="Times New Roman" w:cs="Times New Roman"/>
          <w:szCs w:val="24"/>
        </w:rPr>
        <w:t>Pozostałe informacje:</w:t>
      </w:r>
    </w:p>
    <w:p w:rsidR="00CA0942" w:rsidRDefault="00D057A6">
      <w:pPr>
        <w:pStyle w:val="Bezodstpw"/>
        <w:jc w:val="both"/>
        <w:rPr>
          <w:rFonts w:hint="eastAsia"/>
          <w:bCs/>
        </w:rPr>
      </w:pPr>
      <w:r>
        <w:rPr>
          <w:bCs/>
        </w:rPr>
        <w:t>1) Prezydento</w:t>
      </w:r>
      <w:r>
        <w:rPr>
          <w:bCs/>
        </w:rPr>
        <w:t>wi Miasta Świnoujście przysługuje prawo zamknięcia przetargu bez wybrania którejkolwiek z ofert;</w:t>
      </w:r>
    </w:p>
    <w:p w:rsidR="00CA0942" w:rsidRDefault="00D057A6">
      <w:pPr>
        <w:pStyle w:val="Bezodstpw"/>
        <w:jc w:val="both"/>
        <w:rPr>
          <w:rFonts w:hint="eastAsia"/>
          <w:bCs/>
        </w:rPr>
      </w:pPr>
      <w:r>
        <w:rPr>
          <w:bCs/>
        </w:rPr>
        <w:t>2) Prezydent Miasta Świnoujście może odwołać ogłoszony przetarg jedynie z ważnych powodów, niezwłocznie podając do publicznej wiadomości informację o odwołaniu</w:t>
      </w:r>
      <w:r>
        <w:rPr>
          <w:bCs/>
        </w:rPr>
        <w:t xml:space="preserve"> przetargu oraz przyczynę odwołania przetargu;</w:t>
      </w:r>
    </w:p>
    <w:p w:rsidR="00CA0942" w:rsidRDefault="00D057A6">
      <w:pPr>
        <w:pStyle w:val="Bezodstpw"/>
        <w:jc w:val="both"/>
        <w:rPr>
          <w:rFonts w:hint="eastAsia"/>
          <w:bCs/>
        </w:rPr>
      </w:pPr>
      <w:r>
        <w:rPr>
          <w:bCs/>
        </w:rPr>
        <w:t>3) Przetarg może się odbyć, chociażby wpłynęła tylko jedna oferta spełniająca warunki określone w ogłoszeniu o przetargu;</w:t>
      </w:r>
    </w:p>
    <w:p w:rsidR="00CA0942" w:rsidRDefault="00D057A6">
      <w:pPr>
        <w:pStyle w:val="Bezodstpw"/>
        <w:jc w:val="both"/>
        <w:rPr>
          <w:rFonts w:hint="eastAsia"/>
        </w:rPr>
      </w:pPr>
      <w:r>
        <w:rPr>
          <w:bCs/>
        </w:rPr>
        <w:t>4) Ogłoszenie o przetargu wywiesza się w siedzibie właściwego urzędu, a ponadto umieszc</w:t>
      </w:r>
      <w:r>
        <w:rPr>
          <w:bCs/>
        </w:rPr>
        <w:t xml:space="preserve">za się na stronie internetowej </w:t>
      </w:r>
      <w:hyperlink r:id="rId6" w:history="1">
        <w:r>
          <w:rPr>
            <w:rStyle w:val="Hipercze"/>
            <w:bCs/>
          </w:rPr>
          <w:t>www.swinoujscie.pl</w:t>
        </w:r>
      </w:hyperlink>
      <w:r>
        <w:rPr>
          <w:bCs/>
        </w:rPr>
        <w:t xml:space="preserve">  w Biuletynie Informacji Publicznej oraz w prasie.</w:t>
      </w:r>
    </w:p>
    <w:p w:rsidR="00CA0942" w:rsidRDefault="00CA0942">
      <w:pPr>
        <w:pStyle w:val="Bezodstpw"/>
        <w:jc w:val="both"/>
        <w:rPr>
          <w:rFonts w:hint="eastAsia"/>
        </w:rPr>
      </w:pPr>
    </w:p>
    <w:p w:rsidR="00CA0942" w:rsidRDefault="00D057A6">
      <w:pPr>
        <w:pStyle w:val="Bezodstpw"/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*druk Formularza Ofertowego (Zał. Nr 1 do niniejszego ogłoszenia o przetargu), druk Oświadczenie </w:t>
      </w:r>
      <w:r>
        <w:rPr>
          <w:rFonts w:ascii="Times New Roman" w:hAnsi="Times New Roman" w:cs="Times New Roman"/>
          <w:b/>
          <w:i/>
        </w:rPr>
        <w:t xml:space="preserve">o średnim, </w:t>
      </w:r>
      <w:r>
        <w:rPr>
          <w:rFonts w:ascii="Times New Roman" w:hAnsi="Times New Roman" w:cs="Times New Roman"/>
          <w:b/>
          <w:i/>
        </w:rPr>
        <w:t xml:space="preserve">małym lub mikro </w:t>
      </w:r>
      <w:r>
        <w:rPr>
          <w:rFonts w:ascii="Times New Roman" w:hAnsi="Times New Roman" w:cs="Times New Roman"/>
          <w:b/>
        </w:rPr>
        <w:t xml:space="preserve">Przedsiębiorcy ( Zał. Nr 2 do niniejszego ogłoszenia o przetargu) oraz projekt umowy dzierżawy do pobrania na stronie </w:t>
      </w:r>
      <w:hyperlink r:id="rId7" w:history="1">
        <w:r>
          <w:rPr>
            <w:rStyle w:val="Hipercze"/>
            <w:b/>
            <w:bCs/>
            <w:u w:val="none"/>
          </w:rPr>
          <w:t>www.swinoujscie.pl</w:t>
        </w:r>
      </w:hyperlink>
      <w:r>
        <w:rPr>
          <w:b/>
          <w:bCs/>
        </w:rPr>
        <w:t>/ zakładka: Dla Inwestorów/ Wydzierżawienie Gruntów.</w:t>
      </w:r>
    </w:p>
    <w:p w:rsidR="00CA0942" w:rsidRDefault="00CA0942">
      <w:pPr>
        <w:pStyle w:val="Textbody"/>
        <w:jc w:val="both"/>
        <w:rPr>
          <w:rFonts w:ascii="Times New Roman" w:hAnsi="Times New Roman" w:cs="Times New Roman"/>
          <w:bCs/>
        </w:rPr>
      </w:pPr>
    </w:p>
    <w:p w:rsidR="00CA0942" w:rsidRDefault="00CA0942">
      <w:pPr>
        <w:pStyle w:val="Textbody"/>
        <w:jc w:val="both"/>
        <w:rPr>
          <w:rFonts w:ascii="Times New Roman" w:hAnsi="Times New Roman" w:cs="Times New Roman"/>
          <w:bCs/>
        </w:rPr>
      </w:pPr>
    </w:p>
    <w:p w:rsidR="00CA0942" w:rsidRDefault="00CA0942">
      <w:pPr>
        <w:pStyle w:val="Textbody"/>
        <w:jc w:val="both"/>
        <w:rPr>
          <w:rFonts w:ascii="Times New Roman" w:hAnsi="Times New Roman" w:cs="Times New Roman"/>
          <w:bCs/>
        </w:rPr>
      </w:pPr>
    </w:p>
    <w:p w:rsidR="00CA0942" w:rsidRDefault="00CA0942">
      <w:pPr>
        <w:pStyle w:val="Textbody"/>
        <w:jc w:val="both"/>
        <w:rPr>
          <w:rFonts w:ascii="Times New Roman" w:hAnsi="Times New Roman" w:cs="Times New Roman"/>
          <w:bCs/>
        </w:rPr>
      </w:pPr>
    </w:p>
    <w:p w:rsidR="00CA0942" w:rsidRDefault="00CA0942">
      <w:pPr>
        <w:pStyle w:val="Textbody"/>
        <w:jc w:val="both"/>
        <w:rPr>
          <w:rFonts w:ascii="Times New Roman" w:hAnsi="Times New Roman" w:cs="Times New Roman"/>
          <w:bCs/>
        </w:rPr>
      </w:pPr>
    </w:p>
    <w:p w:rsidR="00CA0942" w:rsidRDefault="00CA0942">
      <w:pPr>
        <w:pStyle w:val="Textbody"/>
        <w:jc w:val="both"/>
        <w:rPr>
          <w:rFonts w:ascii="Times New Roman" w:hAnsi="Times New Roman" w:cs="Times New Roman"/>
          <w:b/>
          <w:bCs/>
        </w:rPr>
      </w:pPr>
    </w:p>
    <w:p w:rsidR="00CA0942" w:rsidRDefault="00CA0942">
      <w:pPr>
        <w:pStyle w:val="Textbody"/>
        <w:jc w:val="both"/>
        <w:rPr>
          <w:rFonts w:ascii="Times New Roman" w:hAnsi="Times New Roman" w:cs="Times New Roman"/>
          <w:b/>
        </w:rPr>
      </w:pPr>
    </w:p>
    <w:p w:rsidR="00CA0942" w:rsidRDefault="00CA0942">
      <w:pPr>
        <w:pStyle w:val="Textbody"/>
        <w:jc w:val="both"/>
        <w:rPr>
          <w:rFonts w:ascii="Times New Roman" w:hAnsi="Times New Roman" w:cs="Times New Roman"/>
          <w:b/>
        </w:rPr>
      </w:pPr>
    </w:p>
    <w:p w:rsidR="00CA0942" w:rsidRDefault="00CA0942">
      <w:pPr>
        <w:pStyle w:val="Textbody"/>
        <w:jc w:val="both"/>
        <w:rPr>
          <w:rFonts w:ascii="Times New Roman" w:hAnsi="Times New Roman" w:cs="Times New Roman"/>
          <w:b/>
        </w:rPr>
      </w:pPr>
    </w:p>
    <w:p w:rsidR="00CA0942" w:rsidRDefault="00CA0942">
      <w:pPr>
        <w:pStyle w:val="Textbody"/>
        <w:jc w:val="both"/>
        <w:rPr>
          <w:rFonts w:ascii="Times New Roman" w:hAnsi="Times New Roman" w:cs="Times New Roman"/>
          <w:b/>
        </w:rPr>
      </w:pPr>
    </w:p>
    <w:p w:rsidR="00CA0942" w:rsidRDefault="00CA0942">
      <w:pPr>
        <w:pStyle w:val="Textbody"/>
        <w:jc w:val="both"/>
        <w:rPr>
          <w:rFonts w:ascii="Times New Roman" w:hAnsi="Times New Roman" w:cs="Times New Roman"/>
          <w:b/>
        </w:rPr>
      </w:pPr>
    </w:p>
    <w:p w:rsidR="00CA0942" w:rsidRDefault="00CA0942">
      <w:pPr>
        <w:pStyle w:val="Textbody"/>
        <w:jc w:val="both"/>
        <w:rPr>
          <w:rFonts w:ascii="Times New Roman" w:hAnsi="Times New Roman" w:cs="Times New Roman"/>
          <w:b/>
        </w:rPr>
      </w:pPr>
    </w:p>
    <w:p w:rsidR="00CA0942" w:rsidRDefault="00CA0942">
      <w:pPr>
        <w:pStyle w:val="Textbody"/>
        <w:jc w:val="both"/>
        <w:rPr>
          <w:rFonts w:ascii="Times New Roman" w:hAnsi="Times New Roman" w:cs="Times New Roman"/>
          <w:b/>
        </w:rPr>
      </w:pPr>
    </w:p>
    <w:p w:rsidR="00CA0942" w:rsidRDefault="00CA0942">
      <w:pPr>
        <w:pStyle w:val="Textbody"/>
        <w:jc w:val="center"/>
        <w:rPr>
          <w:rFonts w:ascii="Times New Roman" w:hAnsi="Times New Roman" w:cs="Times New Roman"/>
          <w:b/>
          <w:bCs/>
          <w:color w:val="807D75"/>
        </w:rPr>
      </w:pPr>
    </w:p>
    <w:sectPr w:rsidR="00CA094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7A6" w:rsidRDefault="00D057A6">
      <w:pPr>
        <w:rPr>
          <w:rFonts w:hint="eastAsia"/>
        </w:rPr>
      </w:pPr>
      <w:r>
        <w:separator/>
      </w:r>
    </w:p>
  </w:endnote>
  <w:endnote w:type="continuationSeparator" w:id="0">
    <w:p w:rsidR="00D057A6" w:rsidRDefault="00D057A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7A6" w:rsidRDefault="00D057A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057A6" w:rsidRDefault="00D057A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A0942"/>
    <w:rsid w:val="00CA0942"/>
    <w:rsid w:val="00D057A6"/>
    <w:rsid w:val="00E3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B5AD1-A9EB-445D-91A0-1620ACCD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pPr>
      <w:keepNext/>
      <w:suppressAutoHyphens w:val="0"/>
      <w:jc w:val="center"/>
      <w:textAlignment w:val="auto"/>
      <w:outlineLvl w:val="0"/>
    </w:pPr>
    <w:rPr>
      <w:rFonts w:ascii="Times New Roman" w:eastAsia="Times New Roman" w:hAnsi="Times New Roman" w:cs="Times New Roman"/>
      <w:b/>
      <w:kern w:val="0"/>
      <w:sz w:val="2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paragraph" w:styleId="Bezodstpw">
    <w:name w:val="No Spacing"/>
    <w:pPr>
      <w:suppressAutoHyphens/>
    </w:pPr>
    <w:rPr>
      <w:rFonts w:cs="Mangal"/>
      <w:szCs w:val="21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kern w:val="0"/>
      <w:sz w:val="26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winoujsci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winoujscie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1267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Mikulska-Gawle Karina</dc:creator>
  <cp:lastModifiedBy>Lachowska Hanna</cp:lastModifiedBy>
  <cp:revision>2</cp:revision>
  <cp:lastPrinted>2020-10-22T08:57:00Z</cp:lastPrinted>
  <dcterms:created xsi:type="dcterms:W3CDTF">2020-10-26T08:28:00Z</dcterms:created>
  <dcterms:modified xsi:type="dcterms:W3CDTF">2020-10-26T08:28:00Z</dcterms:modified>
</cp:coreProperties>
</file>