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8" w:rsidRPr="0072079F" w:rsidRDefault="007E3350" w:rsidP="0072079F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72079F">
        <w:rPr>
          <w:rFonts w:cs="Times New Roman"/>
          <w:b/>
          <w:i/>
          <w:sz w:val="24"/>
          <w:szCs w:val="24"/>
        </w:rPr>
        <w:t>WYKAZ ZGŁ</w:t>
      </w:r>
      <w:r w:rsidR="00D953C9" w:rsidRPr="0072079F">
        <w:rPr>
          <w:rFonts w:cs="Times New Roman"/>
          <w:b/>
          <w:i/>
          <w:sz w:val="24"/>
          <w:szCs w:val="24"/>
        </w:rPr>
        <w:t>O</w:t>
      </w:r>
      <w:r w:rsidRPr="0072079F">
        <w:rPr>
          <w:rFonts w:cs="Times New Roman"/>
          <w:b/>
          <w:i/>
          <w:sz w:val="24"/>
          <w:szCs w:val="24"/>
        </w:rPr>
        <w:t>SZ</w:t>
      </w:r>
      <w:r w:rsidR="00D953C9" w:rsidRPr="0072079F">
        <w:rPr>
          <w:rFonts w:cs="Times New Roman"/>
          <w:b/>
          <w:i/>
          <w:sz w:val="24"/>
          <w:szCs w:val="24"/>
        </w:rPr>
        <w:t>ONYCH DO NAGRODY</w:t>
      </w:r>
      <w:r w:rsidRPr="0072079F">
        <w:rPr>
          <w:rFonts w:cs="Times New Roman"/>
          <w:b/>
          <w:i/>
          <w:sz w:val="24"/>
          <w:szCs w:val="24"/>
        </w:rPr>
        <w:t xml:space="preserve"> </w:t>
      </w:r>
      <w:r w:rsidR="00D953C9" w:rsidRPr="0072079F">
        <w:rPr>
          <w:rFonts w:cs="Times New Roman"/>
          <w:b/>
          <w:i/>
          <w:sz w:val="24"/>
          <w:szCs w:val="24"/>
        </w:rPr>
        <w:t xml:space="preserve">PREZYDENTA </w:t>
      </w:r>
      <w:r w:rsidR="00337ED5">
        <w:rPr>
          <w:rFonts w:cs="Times New Roman"/>
          <w:b/>
          <w:i/>
          <w:sz w:val="24"/>
          <w:szCs w:val="24"/>
        </w:rPr>
        <w:t xml:space="preserve">MIASTA ŚWINOUJŚCIE </w:t>
      </w:r>
      <w:r w:rsidR="00AA53CD" w:rsidRPr="0072079F">
        <w:rPr>
          <w:rFonts w:cs="Times New Roman"/>
          <w:b/>
          <w:i/>
          <w:sz w:val="24"/>
          <w:szCs w:val="24"/>
        </w:rPr>
        <w:t xml:space="preserve">TRYTON </w:t>
      </w:r>
      <w:r w:rsidR="00B0497B" w:rsidRPr="0072079F">
        <w:rPr>
          <w:rFonts w:cs="Times New Roman"/>
          <w:b/>
          <w:i/>
          <w:sz w:val="24"/>
          <w:szCs w:val="24"/>
        </w:rPr>
        <w:t>201</w:t>
      </w:r>
      <w:r w:rsidR="00F7173A" w:rsidRPr="0072079F">
        <w:rPr>
          <w:rFonts w:cs="Times New Roman"/>
          <w:b/>
          <w:i/>
          <w:sz w:val="24"/>
          <w:szCs w:val="24"/>
        </w:rPr>
        <w:t>5</w:t>
      </w:r>
      <w:r w:rsidR="00CC2E94" w:rsidRPr="0072079F">
        <w:rPr>
          <w:rFonts w:cs="Times New Roman"/>
          <w:b/>
          <w:i/>
          <w:sz w:val="24"/>
          <w:szCs w:val="24"/>
        </w:rPr>
        <w:t xml:space="preserve"> wraz z krótkim uzasadnieniem</w:t>
      </w:r>
    </w:p>
    <w:p w:rsidR="00894F22" w:rsidRDefault="00894F22" w:rsidP="00F441DF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72079F">
        <w:rPr>
          <w:rFonts w:cs="Times New Roman"/>
          <w:b/>
          <w:i/>
          <w:sz w:val="24"/>
          <w:szCs w:val="24"/>
        </w:rPr>
        <w:t>Kategoria I: GOSPODARKA I PRZEDSIĘBIORCZOŚĆ</w:t>
      </w:r>
    </w:p>
    <w:p w:rsidR="0072079F" w:rsidRPr="0072079F" w:rsidRDefault="0072079F" w:rsidP="00F441DF">
      <w:pPr>
        <w:spacing w:after="0"/>
        <w:jc w:val="center"/>
        <w:rPr>
          <w:rFonts w:cs="Times New Roman"/>
          <w:b/>
          <w:i/>
          <w:sz w:val="14"/>
          <w:szCs w:val="24"/>
        </w:rPr>
      </w:pP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567"/>
        <w:gridCol w:w="2694"/>
        <w:gridCol w:w="2268"/>
        <w:gridCol w:w="8789"/>
        <w:gridCol w:w="1559"/>
      </w:tblGrid>
      <w:tr w:rsidR="00B17F2A" w:rsidRPr="0072079F" w:rsidTr="006B06F0">
        <w:trPr>
          <w:trHeight w:val="432"/>
        </w:trPr>
        <w:tc>
          <w:tcPr>
            <w:tcW w:w="567" w:type="dxa"/>
            <w:vAlign w:val="center"/>
          </w:tcPr>
          <w:p w:rsidR="00CC2E94" w:rsidRPr="0072079F" w:rsidRDefault="00CC2E94" w:rsidP="00F441DF">
            <w:pPr>
              <w:jc w:val="center"/>
              <w:rPr>
                <w:rFonts w:cs="Times New Roman"/>
                <w:b/>
              </w:rPr>
            </w:pPr>
            <w:r w:rsidRPr="0072079F">
              <w:rPr>
                <w:rFonts w:cs="Times New Roman"/>
                <w:b/>
                <w:sz w:val="20"/>
              </w:rPr>
              <w:t>Lp</w:t>
            </w:r>
            <w:r w:rsidR="00BE60D3" w:rsidRPr="0072079F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C2E94" w:rsidRPr="0072079F" w:rsidRDefault="00CC2E94" w:rsidP="00F441DF">
            <w:pPr>
              <w:jc w:val="center"/>
              <w:rPr>
                <w:rFonts w:cs="Times New Roman"/>
                <w:b/>
              </w:rPr>
            </w:pPr>
            <w:r w:rsidRPr="0072079F">
              <w:rPr>
                <w:rFonts w:cs="Times New Roman"/>
                <w:b/>
              </w:rPr>
              <w:t>Nazwa</w:t>
            </w:r>
          </w:p>
        </w:tc>
        <w:tc>
          <w:tcPr>
            <w:tcW w:w="2268" w:type="dxa"/>
            <w:vAlign w:val="center"/>
          </w:tcPr>
          <w:p w:rsidR="00CC2E94" w:rsidRPr="0072079F" w:rsidRDefault="00CC2E94" w:rsidP="00F441DF">
            <w:pPr>
              <w:jc w:val="center"/>
              <w:rPr>
                <w:rFonts w:cs="Times New Roman"/>
                <w:b/>
              </w:rPr>
            </w:pPr>
            <w:r w:rsidRPr="0072079F">
              <w:rPr>
                <w:rFonts w:cs="Times New Roman"/>
                <w:b/>
              </w:rPr>
              <w:t>Przedstawiciel</w:t>
            </w:r>
          </w:p>
        </w:tc>
        <w:tc>
          <w:tcPr>
            <w:tcW w:w="8789" w:type="dxa"/>
            <w:vAlign w:val="center"/>
          </w:tcPr>
          <w:p w:rsidR="00CC2E94" w:rsidRPr="0072079F" w:rsidRDefault="00B16ED0" w:rsidP="00F441DF">
            <w:pPr>
              <w:jc w:val="center"/>
              <w:rPr>
                <w:rFonts w:cs="Times New Roman"/>
                <w:b/>
              </w:rPr>
            </w:pPr>
            <w:r w:rsidRPr="0072079F">
              <w:rPr>
                <w:rFonts w:cs="Times New Roman"/>
                <w:b/>
              </w:rPr>
              <w:t>Krótkie uzasadnienie</w:t>
            </w:r>
          </w:p>
        </w:tc>
        <w:tc>
          <w:tcPr>
            <w:tcW w:w="1559" w:type="dxa"/>
            <w:vAlign w:val="center"/>
          </w:tcPr>
          <w:p w:rsidR="00CC2E94" w:rsidRPr="0072079F" w:rsidRDefault="00B16ED0" w:rsidP="00F441DF">
            <w:pPr>
              <w:jc w:val="center"/>
              <w:rPr>
                <w:rFonts w:cs="Times New Roman"/>
                <w:b/>
              </w:rPr>
            </w:pPr>
            <w:r w:rsidRPr="0072079F">
              <w:rPr>
                <w:rFonts w:cs="Times New Roman"/>
                <w:b/>
              </w:rPr>
              <w:t>Zgłaszający</w:t>
            </w:r>
          </w:p>
        </w:tc>
      </w:tr>
      <w:tr w:rsidR="00690973" w:rsidRPr="0072079F" w:rsidTr="006B06F0">
        <w:trPr>
          <w:trHeight w:val="836"/>
        </w:trPr>
        <w:tc>
          <w:tcPr>
            <w:tcW w:w="567" w:type="dxa"/>
          </w:tcPr>
          <w:p w:rsidR="00690973" w:rsidRPr="0072079F" w:rsidRDefault="00690973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B70180" w:rsidRDefault="00DE2561" w:rsidP="00B7018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</w:t>
            </w:r>
            <w:r w:rsidR="0072079F" w:rsidRPr="00854F38">
              <w:rPr>
                <w:rFonts w:cs="Times New Roman"/>
                <w:b/>
              </w:rPr>
              <w:t>Uzdrowisko</w:t>
            </w:r>
            <w:r w:rsidR="00B70180">
              <w:rPr>
                <w:rFonts w:cs="Times New Roman"/>
                <w:b/>
              </w:rPr>
              <w:t xml:space="preserve"> </w:t>
            </w:r>
          </w:p>
          <w:p w:rsidR="00690973" w:rsidRPr="00854F38" w:rsidRDefault="00690973" w:rsidP="00B70180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Świnoujście</w:t>
            </w:r>
            <w:r w:rsidR="00DE2561">
              <w:rPr>
                <w:rFonts w:cs="Times New Roman"/>
                <w:b/>
              </w:rPr>
              <w:t>”</w:t>
            </w:r>
            <w:r w:rsidRPr="00854F38">
              <w:rPr>
                <w:rFonts w:cs="Times New Roman"/>
                <w:b/>
              </w:rPr>
              <w:t xml:space="preserve"> S.A.</w:t>
            </w:r>
          </w:p>
        </w:tc>
        <w:tc>
          <w:tcPr>
            <w:tcW w:w="2268" w:type="dxa"/>
          </w:tcPr>
          <w:p w:rsidR="00B96F7C" w:rsidRPr="00854F38" w:rsidRDefault="00DE2561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 xml:space="preserve">Dariusz Śliwiński </w:t>
            </w:r>
            <w:r w:rsidR="00B96F7C" w:rsidRPr="00854F38">
              <w:rPr>
                <w:rFonts w:cs="Times New Roman"/>
                <w:b/>
              </w:rPr>
              <w:t>Prezes Zarządu</w:t>
            </w:r>
          </w:p>
          <w:p w:rsidR="00690973" w:rsidRDefault="00DE2561" w:rsidP="005045B2">
            <w:pPr>
              <w:rPr>
                <w:rFonts w:eastAsia="Tahoma" w:cs="Times New Roman"/>
                <w:b/>
                <w:szCs w:val="24"/>
              </w:rPr>
            </w:pPr>
            <w:r>
              <w:rPr>
                <w:rFonts w:eastAsia="Tahoma" w:cs="Times New Roman"/>
                <w:b/>
                <w:szCs w:val="24"/>
              </w:rPr>
              <w:t>Bożena Foryś</w:t>
            </w:r>
          </w:p>
          <w:p w:rsidR="00DE2561" w:rsidRPr="00854F38" w:rsidRDefault="002C26EF" w:rsidP="005045B2">
            <w:pPr>
              <w:rPr>
                <w:rFonts w:eastAsia="Tahoma" w:cs="Times New Roman"/>
                <w:b/>
                <w:szCs w:val="24"/>
              </w:rPr>
            </w:pPr>
            <w:r>
              <w:rPr>
                <w:rFonts w:eastAsia="Tahoma" w:cs="Times New Roman"/>
                <w:b/>
                <w:szCs w:val="24"/>
              </w:rPr>
              <w:t>Członek Zarządu</w:t>
            </w:r>
          </w:p>
        </w:tc>
        <w:tc>
          <w:tcPr>
            <w:tcW w:w="8789" w:type="dxa"/>
            <w:vAlign w:val="center"/>
          </w:tcPr>
          <w:p w:rsidR="00B96F7C" w:rsidRPr="00D33B7D" w:rsidRDefault="00B96F7C" w:rsidP="0072079F">
            <w:pPr>
              <w:ind w:left="34" w:right="34"/>
              <w:jc w:val="both"/>
              <w:rPr>
                <w:rFonts w:eastAsia="Tahoma" w:cs="Times New Roman"/>
              </w:rPr>
            </w:pPr>
            <w:r w:rsidRPr="00D33B7D">
              <w:rPr>
                <w:rFonts w:eastAsia="Tahoma" w:cs="Times New Roman"/>
              </w:rPr>
              <w:t>Przedsiębiorstwo powstało w 1959 roku. Spółka jest uzdrowiskiem o wieloletniej tradycji leczniczej. Posiada 8 ośrodków sanatoryjnych z 527 miejscami noclegowymi, po sezonie letnim dodatkowo podnajmuje 684 miejsc noclegowych. Uzdrowisko zatrudnia 213 osób. W</w:t>
            </w:r>
            <w:r w:rsidR="0072079F" w:rsidRPr="00D33B7D">
              <w:rPr>
                <w:rFonts w:eastAsia="Tahoma" w:cs="Times New Roman"/>
              </w:rPr>
              <w:t> </w:t>
            </w:r>
            <w:r w:rsidRPr="00D33B7D">
              <w:rPr>
                <w:rFonts w:eastAsia="Tahoma" w:cs="Times New Roman"/>
              </w:rPr>
              <w:t>2015 r. Uzdrowisko przyjęło 16,5 tys. pacjentów, w tym prawie 2,5 tys. to mieszkańcy Świnoujścia.</w:t>
            </w:r>
          </w:p>
          <w:p w:rsidR="0072079F" w:rsidRPr="00D33B7D" w:rsidRDefault="00DE2561" w:rsidP="005C07E2">
            <w:pPr>
              <w:ind w:left="34" w:right="34"/>
              <w:jc w:val="both"/>
              <w:rPr>
                <w:rFonts w:eastAsia="Tahoma" w:cs="Times New Roman"/>
              </w:rPr>
            </w:pPr>
            <w:r>
              <w:rPr>
                <w:rFonts w:eastAsia="Tahoma" w:cs="Times New Roman"/>
              </w:rPr>
              <w:t>„</w:t>
            </w:r>
            <w:r w:rsidR="00B96F7C" w:rsidRPr="00D33B7D">
              <w:rPr>
                <w:rFonts w:eastAsia="Tahoma" w:cs="Times New Roman"/>
              </w:rPr>
              <w:t xml:space="preserve">Uzdrowisko </w:t>
            </w:r>
            <w:r>
              <w:rPr>
                <w:rFonts w:eastAsia="Tahoma" w:cs="Times New Roman"/>
              </w:rPr>
              <w:t xml:space="preserve">Świnoujście” S.A. </w:t>
            </w:r>
            <w:r w:rsidR="00B96F7C" w:rsidRPr="00D33B7D">
              <w:rPr>
                <w:rFonts w:eastAsia="Tahoma" w:cs="Times New Roman"/>
              </w:rPr>
              <w:t>specjalizuje się w leczeniu chorób kardiologicznych, dermatologicznych, pulmonologicznych, reumatologicznych</w:t>
            </w:r>
            <w:r>
              <w:rPr>
                <w:rFonts w:eastAsia="Tahoma" w:cs="Times New Roman"/>
              </w:rPr>
              <w:t>, laryngologicznych, cukrzycy i </w:t>
            </w:r>
            <w:r w:rsidR="00B96F7C" w:rsidRPr="00D33B7D">
              <w:rPr>
                <w:rFonts w:eastAsia="Tahoma" w:cs="Times New Roman"/>
              </w:rPr>
              <w:t xml:space="preserve">otyłości. W ramach skierowania z NFZ oferowane są m.in. turnusy sanatoryjne i </w:t>
            </w:r>
            <w:r w:rsidR="00BF1600">
              <w:rPr>
                <w:rFonts w:eastAsia="Tahoma" w:cs="Times New Roman"/>
              </w:rPr>
              <w:t>szpitalne. Dodatkowo Uzdrowisko</w:t>
            </w:r>
            <w:r w:rsidR="00B96F7C" w:rsidRPr="00D33B7D">
              <w:rPr>
                <w:rFonts w:eastAsia="Tahoma" w:cs="Times New Roman"/>
              </w:rPr>
              <w:t xml:space="preserve"> poleca: pełnopłatne pobyty lecznicze z zabiegami, usługi hotelowe oraz pobyty weekendowe, świąteczne, turnusy dla seniorów, nauczycieli i wiele innych. Uzdrowisko dysponuje nowoczesną, dobrze wyposażoną bazą zabiegową, gdzie oferuje bogatą gamę zabiegów (ok. 50 rodzajów) z wykorzystaniem naturalnych surowców: borowiny i solanki. Oferowane są kąpiele solankowe, hydromasaż w solance, ćwiczenia rehabilitacyjn</w:t>
            </w:r>
            <w:r w:rsidR="0072079F" w:rsidRPr="00D33B7D">
              <w:rPr>
                <w:rFonts w:eastAsia="Tahoma" w:cs="Times New Roman"/>
              </w:rPr>
              <w:t xml:space="preserve">e w basenie solankowym, okłady </w:t>
            </w:r>
            <w:r w:rsidR="00B96F7C" w:rsidRPr="00D33B7D">
              <w:rPr>
                <w:rFonts w:eastAsia="Tahoma" w:cs="Times New Roman"/>
              </w:rPr>
              <w:t>borowinowe, masaże suche, inhalacje i wiele innych zabiegów. W</w:t>
            </w:r>
            <w:r w:rsidR="0072079F" w:rsidRPr="00D33B7D">
              <w:rPr>
                <w:rFonts w:eastAsia="Tahoma" w:cs="Times New Roman"/>
              </w:rPr>
              <w:t> </w:t>
            </w:r>
            <w:r w:rsidR="00B96F7C" w:rsidRPr="00D33B7D">
              <w:rPr>
                <w:rFonts w:eastAsia="Tahoma" w:cs="Times New Roman"/>
              </w:rPr>
              <w:t>ostatnich latach firma prężnie się rozwija - przy wsparciu funduszy europejskich w latach 2013</w:t>
            </w:r>
            <w:r w:rsidR="0072079F" w:rsidRPr="00D33B7D">
              <w:rPr>
                <w:rFonts w:eastAsia="Tahoma" w:cs="Times New Roman"/>
              </w:rPr>
              <w:t xml:space="preserve"> </w:t>
            </w:r>
            <w:r w:rsidR="00B96F7C" w:rsidRPr="00D33B7D">
              <w:rPr>
                <w:rFonts w:eastAsia="Tahoma" w:cs="Times New Roman"/>
              </w:rPr>
              <w:t>-</w:t>
            </w:r>
            <w:r w:rsidR="0072079F" w:rsidRPr="00D33B7D">
              <w:rPr>
                <w:rFonts w:eastAsia="Tahoma" w:cs="Times New Roman"/>
              </w:rPr>
              <w:t xml:space="preserve"> </w:t>
            </w:r>
            <w:r w:rsidR="00B96F7C" w:rsidRPr="00D33B7D">
              <w:rPr>
                <w:rFonts w:eastAsia="Tahoma" w:cs="Times New Roman"/>
              </w:rPr>
              <w:t xml:space="preserve">2015 przebudowano dwa zabytkowe </w:t>
            </w:r>
            <w:r w:rsidR="009D65D8">
              <w:rPr>
                <w:rFonts w:eastAsia="Tahoma" w:cs="Times New Roman"/>
              </w:rPr>
              <w:t xml:space="preserve">Regionalne </w:t>
            </w:r>
            <w:r w:rsidR="00404156">
              <w:rPr>
                <w:rFonts w:eastAsia="Tahoma" w:cs="Times New Roman"/>
              </w:rPr>
              <w:t>Ośrodki</w:t>
            </w:r>
            <w:r w:rsidR="00404156" w:rsidRPr="00404156">
              <w:rPr>
                <w:rFonts w:eastAsia="Tahoma" w:cs="Times New Roman"/>
              </w:rPr>
              <w:t xml:space="preserve"> Rehabilitacji</w:t>
            </w:r>
            <w:r w:rsidR="00B96F7C" w:rsidRPr="00D33B7D">
              <w:rPr>
                <w:rFonts w:eastAsia="Tahoma" w:cs="Times New Roman"/>
              </w:rPr>
              <w:t>,</w:t>
            </w:r>
            <w:r w:rsidR="005C07E2">
              <w:rPr>
                <w:rFonts w:eastAsia="Tahoma" w:cs="Times New Roman"/>
              </w:rPr>
              <w:t xml:space="preserve"> tj. „</w:t>
            </w:r>
            <w:r>
              <w:rPr>
                <w:rFonts w:eastAsia="Tahoma" w:cs="Times New Roman"/>
              </w:rPr>
              <w:t>Admirał I</w:t>
            </w:r>
            <w:r w:rsidR="005C07E2">
              <w:rPr>
                <w:rFonts w:eastAsia="Tahoma" w:cs="Times New Roman"/>
              </w:rPr>
              <w:t>”</w:t>
            </w:r>
            <w:r>
              <w:rPr>
                <w:rFonts w:eastAsia="Tahoma" w:cs="Times New Roman"/>
              </w:rPr>
              <w:t xml:space="preserve"> oraz</w:t>
            </w:r>
            <w:r w:rsidR="0072079F" w:rsidRPr="00D33B7D">
              <w:rPr>
                <w:rFonts w:eastAsia="Tahoma" w:cs="Times New Roman"/>
              </w:rPr>
              <w:t xml:space="preserve"> </w:t>
            </w:r>
            <w:r w:rsidR="009D65D8">
              <w:rPr>
                <w:rFonts w:eastAsia="Tahoma" w:cs="Times New Roman"/>
              </w:rPr>
              <w:t xml:space="preserve">„Adam i </w:t>
            </w:r>
            <w:r w:rsidR="00B96F7C" w:rsidRPr="00D33B7D">
              <w:rPr>
                <w:rFonts w:eastAsia="Tahoma" w:cs="Times New Roman"/>
              </w:rPr>
              <w:t>Ewa</w:t>
            </w:r>
            <w:r w:rsidR="005C07E2">
              <w:rPr>
                <w:rFonts w:eastAsia="Tahoma" w:cs="Times New Roman"/>
              </w:rPr>
              <w:t>”</w:t>
            </w:r>
            <w:r w:rsidR="00B96F7C" w:rsidRPr="00D33B7D">
              <w:rPr>
                <w:rFonts w:eastAsia="Tahoma" w:cs="Times New Roman"/>
              </w:rPr>
              <w:t>, p</w:t>
            </w:r>
            <w:r w:rsidR="00966F4F">
              <w:rPr>
                <w:rFonts w:eastAsia="Tahoma" w:cs="Times New Roman"/>
              </w:rPr>
              <w:t xml:space="preserve">oprawiając tym samym estetykę i </w:t>
            </w:r>
            <w:r w:rsidR="00B96F7C" w:rsidRPr="00D33B7D">
              <w:rPr>
                <w:rFonts w:eastAsia="Tahoma" w:cs="Times New Roman"/>
              </w:rPr>
              <w:t>atrakcyjność Dzielnicy Nadmorskiej. Całkowity koszt przebudowy wyniósł 23</w:t>
            </w:r>
            <w:r w:rsidR="00966F4F">
              <w:rPr>
                <w:rFonts w:eastAsia="Tahoma" w:cs="Times New Roman"/>
              </w:rPr>
              <w:t xml:space="preserve"> </w:t>
            </w:r>
            <w:r w:rsidR="00B96F7C" w:rsidRPr="00D33B7D">
              <w:rPr>
                <w:rFonts w:eastAsia="Tahoma" w:cs="Times New Roman"/>
              </w:rPr>
              <w:t>mln z</w:t>
            </w:r>
            <w:r w:rsidR="0072079F" w:rsidRPr="00D33B7D">
              <w:rPr>
                <w:rFonts w:eastAsia="Tahoma" w:cs="Times New Roman"/>
              </w:rPr>
              <w:t>ł, z tego dofinansowanie unijne</w:t>
            </w:r>
            <w:r w:rsidR="005C07E2">
              <w:rPr>
                <w:rFonts w:eastAsia="Tahoma" w:cs="Times New Roman"/>
              </w:rPr>
              <w:t xml:space="preserve"> wyniosło 11 mln zł. Oddanie do </w:t>
            </w:r>
            <w:r w:rsidR="00B96F7C" w:rsidRPr="00D33B7D">
              <w:rPr>
                <w:rFonts w:eastAsia="Tahoma" w:cs="Times New Roman"/>
              </w:rPr>
              <w:t xml:space="preserve">użytkowania tych dwóch obiektów pozwoliło spółce zwiększyć zatrudnienie </w:t>
            </w:r>
            <w:r w:rsidR="009D65D8">
              <w:rPr>
                <w:rFonts w:eastAsia="Tahoma" w:cs="Times New Roman"/>
              </w:rPr>
              <w:br/>
            </w:r>
            <w:r w:rsidR="00B96F7C" w:rsidRPr="00D33B7D">
              <w:rPr>
                <w:rFonts w:eastAsia="Tahoma" w:cs="Times New Roman"/>
              </w:rPr>
              <w:t>o 23 osoby.</w:t>
            </w:r>
          </w:p>
        </w:tc>
        <w:tc>
          <w:tcPr>
            <w:tcW w:w="1559" w:type="dxa"/>
          </w:tcPr>
          <w:p w:rsidR="00767BAC" w:rsidRDefault="00767BAC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Mieszkańcy</w:t>
            </w:r>
          </w:p>
          <w:p w:rsidR="00767BAC" w:rsidRDefault="00767BAC" w:rsidP="00B96F7C">
            <w:pPr>
              <w:jc w:val="center"/>
              <w:rPr>
                <w:rFonts w:cs="Times New Roman"/>
              </w:rPr>
            </w:pPr>
          </w:p>
          <w:p w:rsidR="00690973" w:rsidRPr="0072079F" w:rsidRDefault="00665750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Członek Kapituły</w:t>
            </w:r>
          </w:p>
        </w:tc>
      </w:tr>
      <w:tr w:rsidR="00690973" w:rsidRPr="0072079F" w:rsidTr="006B06F0">
        <w:trPr>
          <w:trHeight w:val="1134"/>
        </w:trPr>
        <w:tc>
          <w:tcPr>
            <w:tcW w:w="567" w:type="dxa"/>
          </w:tcPr>
          <w:p w:rsidR="00690973" w:rsidRPr="0072079F" w:rsidRDefault="00690973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690973" w:rsidRPr="00854F38" w:rsidRDefault="00B96F7C" w:rsidP="00BF3769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Przedsiębiorstwo</w:t>
            </w:r>
            <w:r w:rsidR="006707A5">
              <w:rPr>
                <w:rFonts w:cs="Times New Roman"/>
                <w:b/>
              </w:rPr>
              <w:t xml:space="preserve"> Produkcyjno Handlowo </w:t>
            </w:r>
            <w:r w:rsidR="00F0361C">
              <w:rPr>
                <w:rFonts w:cs="Times New Roman"/>
                <w:b/>
              </w:rPr>
              <w:t xml:space="preserve">Usługowe </w:t>
            </w:r>
            <w:proofErr w:type="spellStart"/>
            <w:r w:rsidRPr="00854F38">
              <w:rPr>
                <w:rFonts w:cs="Times New Roman"/>
                <w:b/>
              </w:rPr>
              <w:t>FOGT-TAK</w:t>
            </w:r>
            <w:proofErr w:type="spellEnd"/>
          </w:p>
        </w:tc>
        <w:tc>
          <w:tcPr>
            <w:tcW w:w="2268" w:type="dxa"/>
          </w:tcPr>
          <w:p w:rsidR="00690973" w:rsidRPr="00854F38" w:rsidRDefault="00BF3769" w:rsidP="005045B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Roman</w:t>
            </w:r>
            <w:r w:rsidR="00B96F7C" w:rsidRPr="00854F38">
              <w:rPr>
                <w:rFonts w:cs="Times New Roman"/>
                <w:b/>
              </w:rPr>
              <w:t xml:space="preserve"> </w:t>
            </w:r>
            <w:proofErr w:type="spellStart"/>
            <w:r w:rsidR="00B96F7C" w:rsidRPr="00854F38">
              <w:rPr>
                <w:rFonts w:cs="Times New Roman"/>
                <w:b/>
              </w:rPr>
              <w:t>Fogt</w:t>
            </w:r>
            <w:proofErr w:type="spellEnd"/>
            <w:r w:rsidR="00DE2561" w:rsidRPr="00854F38">
              <w:rPr>
                <w:rFonts w:cs="Times New Roman"/>
                <w:b/>
              </w:rPr>
              <w:t xml:space="preserve"> Właściciel</w:t>
            </w:r>
          </w:p>
        </w:tc>
        <w:tc>
          <w:tcPr>
            <w:tcW w:w="8789" w:type="dxa"/>
            <w:vAlign w:val="center"/>
          </w:tcPr>
          <w:p w:rsidR="00966F4F" w:rsidRDefault="00B96F7C" w:rsidP="000A0770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 xml:space="preserve">Przedsiębiorstwo </w:t>
            </w:r>
            <w:proofErr w:type="spellStart"/>
            <w:r w:rsidRPr="00D33B7D">
              <w:rPr>
                <w:rFonts w:cs="Times New Roman"/>
              </w:rPr>
              <w:t>FOGT-TAK</w:t>
            </w:r>
            <w:proofErr w:type="spellEnd"/>
            <w:r w:rsidR="00247647">
              <w:rPr>
                <w:rFonts w:cs="Times New Roman"/>
              </w:rPr>
              <w:t xml:space="preserve"> jest firmą rodzinną</w:t>
            </w:r>
            <w:r w:rsidRPr="00D33B7D">
              <w:rPr>
                <w:rFonts w:cs="Times New Roman"/>
              </w:rPr>
              <w:t>, która istnieje na świnoujskim rynku od 1976 r. Firma dała się poznać jako bardzo solidny partner w realizacji inwestycji i remontów budownictwa ogólnego, otrzymując doskonałe referencje od szeregu liczących się w rejonie inwestorów. Firma zatrudnia wysoko wykwalifikowanych pracowników, współpracuje z</w:t>
            </w:r>
            <w:r w:rsidR="0072079F" w:rsidRPr="00D33B7D">
              <w:rPr>
                <w:rFonts w:cs="Times New Roman"/>
              </w:rPr>
              <w:t> </w:t>
            </w:r>
            <w:r w:rsidRPr="00D33B7D">
              <w:rPr>
                <w:rFonts w:cs="Times New Roman"/>
              </w:rPr>
              <w:t xml:space="preserve">liczącymi się biurami projektowymi wdrażającymi najnowocześniejsze technologie. Specjalizuje się w </w:t>
            </w:r>
            <w:proofErr w:type="spellStart"/>
            <w:r w:rsidRPr="00D33B7D">
              <w:rPr>
                <w:rFonts w:cs="Times New Roman"/>
              </w:rPr>
              <w:t>docieplaniu</w:t>
            </w:r>
            <w:proofErr w:type="spellEnd"/>
            <w:r w:rsidRPr="00D33B7D">
              <w:rPr>
                <w:rFonts w:cs="Times New Roman"/>
              </w:rPr>
              <w:t xml:space="preserve"> budynków oraz systemach izolacyjnych. Wykonuje stany surowe obiektów, roboty wykończeniowe oraz instalacyjne branży sanitarnej i elektrycznej w</w:t>
            </w:r>
            <w:r w:rsidR="0072079F" w:rsidRPr="00D33B7D">
              <w:rPr>
                <w:rFonts w:cs="Times New Roman"/>
              </w:rPr>
              <w:t> </w:t>
            </w:r>
            <w:r w:rsidRPr="00D33B7D">
              <w:rPr>
                <w:rFonts w:cs="Times New Roman"/>
              </w:rPr>
              <w:t>najnowszych i sprawdzonych technologiach. W ramach dywersyfikacji swojej działalności firma prowadzi pod</w:t>
            </w:r>
            <w:r w:rsidR="0072079F" w:rsidRPr="00D33B7D">
              <w:rPr>
                <w:rFonts w:cs="Times New Roman"/>
              </w:rPr>
              <w:t xml:space="preserve">najem samochodów serii </w:t>
            </w:r>
            <w:proofErr w:type="spellStart"/>
            <w:r w:rsidR="0072079F" w:rsidRPr="00D33B7D">
              <w:rPr>
                <w:rFonts w:cs="Times New Roman"/>
              </w:rPr>
              <w:t>Daily</w:t>
            </w:r>
            <w:proofErr w:type="spellEnd"/>
            <w:r w:rsidR="0072079F" w:rsidRPr="00D33B7D">
              <w:rPr>
                <w:rFonts w:cs="Times New Roman"/>
              </w:rPr>
              <w:t xml:space="preserve"> i </w:t>
            </w:r>
            <w:proofErr w:type="spellStart"/>
            <w:r w:rsidR="00966F4F">
              <w:rPr>
                <w:rFonts w:cs="Times New Roman"/>
              </w:rPr>
              <w:t>TurboDaily</w:t>
            </w:r>
            <w:proofErr w:type="spellEnd"/>
            <w:r w:rsidR="00966F4F">
              <w:rPr>
                <w:rFonts w:cs="Times New Roman"/>
              </w:rPr>
              <w:t xml:space="preserve"> </w:t>
            </w:r>
            <w:proofErr w:type="spellStart"/>
            <w:r w:rsidR="00966F4F">
              <w:rPr>
                <w:rFonts w:cs="Times New Roman"/>
              </w:rPr>
              <w:t>Iveco</w:t>
            </w:r>
            <w:proofErr w:type="spellEnd"/>
            <w:r w:rsidR="00966F4F">
              <w:rPr>
                <w:rFonts w:cs="Times New Roman"/>
              </w:rPr>
              <w:t>.</w:t>
            </w:r>
            <w:r w:rsidR="00932AC7">
              <w:rPr>
                <w:rFonts w:cs="Times New Roman"/>
              </w:rPr>
              <w:t xml:space="preserve"> Oprócz działalności budowlanej firma działa także w branży </w:t>
            </w:r>
            <w:r w:rsidR="00077082">
              <w:rPr>
                <w:rFonts w:cs="Times New Roman"/>
              </w:rPr>
              <w:t>transportowej i gastronomicznej jest także lokalnym pracodawcą.</w:t>
            </w:r>
          </w:p>
          <w:p w:rsidR="00690973" w:rsidRPr="00D33B7D" w:rsidRDefault="00B96F7C" w:rsidP="000A0770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 xml:space="preserve">W 2015 roku firma </w:t>
            </w:r>
            <w:r w:rsidR="000A0770">
              <w:rPr>
                <w:rFonts w:cs="Times New Roman"/>
              </w:rPr>
              <w:t>została uhonorowana pierwszą nagrodą i tytułem „Orły Polskiej Przedsiębiorczości” – Zachodniopomorska Firma roku 2015</w:t>
            </w:r>
            <w:r w:rsidR="00E0470C">
              <w:rPr>
                <w:rFonts w:cs="Times New Roman"/>
              </w:rPr>
              <w:t xml:space="preserve"> w kategorii Budownictwo Infrastruktura Inżynieryjna i Drogowa</w:t>
            </w:r>
            <w:r w:rsidRPr="00D33B7D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690973" w:rsidRDefault="00B96F7C" w:rsidP="00B96F7C">
            <w:pPr>
              <w:jc w:val="center"/>
              <w:rPr>
                <w:rFonts w:cs="Times New Roman"/>
              </w:rPr>
            </w:pPr>
            <w:r w:rsidRPr="0072079F">
              <w:rPr>
                <w:rFonts w:cs="Times New Roman"/>
              </w:rPr>
              <w:t>Mieszkańcy</w:t>
            </w:r>
          </w:p>
          <w:p w:rsidR="00754296" w:rsidRDefault="00754296" w:rsidP="00B96F7C">
            <w:pPr>
              <w:jc w:val="center"/>
              <w:rPr>
                <w:rFonts w:cs="Times New Roman"/>
              </w:rPr>
            </w:pPr>
          </w:p>
          <w:p w:rsidR="00754296" w:rsidRPr="0072079F" w:rsidRDefault="00754296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Członkowie Kapituły</w:t>
            </w:r>
          </w:p>
        </w:tc>
      </w:tr>
      <w:tr w:rsidR="00690973" w:rsidRPr="0072079F" w:rsidTr="006B06F0">
        <w:trPr>
          <w:trHeight w:val="1134"/>
        </w:trPr>
        <w:tc>
          <w:tcPr>
            <w:tcW w:w="567" w:type="dxa"/>
          </w:tcPr>
          <w:p w:rsidR="00690973" w:rsidRPr="0072079F" w:rsidRDefault="00690973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690973" w:rsidRPr="00854F38" w:rsidRDefault="00690973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Polskie LNG S.A.</w:t>
            </w:r>
          </w:p>
        </w:tc>
        <w:tc>
          <w:tcPr>
            <w:tcW w:w="2268" w:type="dxa"/>
          </w:tcPr>
          <w:p w:rsidR="00690973" w:rsidRDefault="000A0770" w:rsidP="005045B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Jan </w:t>
            </w:r>
            <w:proofErr w:type="spellStart"/>
            <w:r>
              <w:rPr>
                <w:rFonts w:cs="Times New Roman"/>
                <w:b/>
              </w:rPr>
              <w:t>Chadam</w:t>
            </w:r>
            <w:proofErr w:type="spellEnd"/>
          </w:p>
          <w:p w:rsidR="000A0770" w:rsidRPr="00854F38" w:rsidRDefault="000A0770" w:rsidP="005045B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Prezes Zarządu</w:t>
            </w:r>
          </w:p>
        </w:tc>
        <w:tc>
          <w:tcPr>
            <w:tcW w:w="8789" w:type="dxa"/>
            <w:vAlign w:val="center"/>
          </w:tcPr>
          <w:p w:rsidR="00A60758" w:rsidRPr="00A60758" w:rsidRDefault="00A60758" w:rsidP="00A60758">
            <w:pPr>
              <w:ind w:left="34" w:right="34"/>
              <w:jc w:val="both"/>
              <w:rPr>
                <w:rFonts w:cs="Times New Roman"/>
              </w:rPr>
            </w:pPr>
            <w:r w:rsidRPr="00A60758">
              <w:rPr>
                <w:rFonts w:cs="Times New Roman"/>
              </w:rPr>
              <w:t>Spółka Polskie LNG jest odpowiedzialna za budowę i eksploatację terminalu</w:t>
            </w:r>
            <w:r>
              <w:rPr>
                <w:rFonts w:cs="Times New Roman"/>
              </w:rPr>
              <w:t xml:space="preserve"> do odbioru i </w:t>
            </w:r>
            <w:proofErr w:type="spellStart"/>
            <w:r w:rsidRPr="00A60758">
              <w:rPr>
                <w:rFonts w:cs="Times New Roman"/>
              </w:rPr>
              <w:t>regazyfikacji</w:t>
            </w:r>
            <w:proofErr w:type="spellEnd"/>
            <w:r w:rsidRPr="00A60758">
              <w:rPr>
                <w:rFonts w:cs="Times New Roman"/>
              </w:rPr>
              <w:t xml:space="preserve"> skroplonego gazu zimnego. W 2015 r. miało miejsce historyczne wydarzenie </w:t>
            </w:r>
            <w:r>
              <w:rPr>
                <w:rFonts w:cs="Times New Roman"/>
              </w:rPr>
              <w:t>–</w:t>
            </w:r>
            <w:r w:rsidRPr="00A60758">
              <w:rPr>
                <w:rFonts w:cs="Times New Roman"/>
              </w:rPr>
              <w:t xml:space="preserve"> w</w:t>
            </w:r>
            <w:r>
              <w:rPr>
                <w:rFonts w:cs="Times New Roman"/>
              </w:rPr>
              <w:t> </w:t>
            </w:r>
            <w:r w:rsidRPr="00A60758">
              <w:rPr>
                <w:rFonts w:cs="Times New Roman"/>
              </w:rPr>
              <w:t>skali nie tylko miasta, ale i całego kraju oraz środkowo wschodniej Europy – czyli wpłynięcie do świnoujskiego portu pierwszego statku z LNG oraz rozruch terminalu.</w:t>
            </w:r>
          </w:p>
          <w:p w:rsidR="00A60758" w:rsidRPr="00A60758" w:rsidRDefault="00A60758" w:rsidP="00A60758">
            <w:pPr>
              <w:ind w:left="34" w:right="34"/>
              <w:jc w:val="both"/>
              <w:rPr>
                <w:rFonts w:cs="Times New Roman"/>
              </w:rPr>
            </w:pPr>
            <w:r w:rsidRPr="00A60758">
              <w:rPr>
                <w:rFonts w:cs="Times New Roman"/>
              </w:rPr>
              <w:t>Terminal LNG może stać się w przyszłości centrum wymiany myśli technicznej z zakresu funkcjonowania technologii LNG oraz jej znaczenia na rynku globalnym (konferencje naukowe, spotkania biznesowe), co z pewnością jeszcze bardziej wpłynie na rozwój lokalnego rynku hotelarskiego, gastronomicznego oraz innego rodzaju usług związanych z organizacją spotkań biznesowych.</w:t>
            </w:r>
          </w:p>
          <w:p w:rsidR="00A60758" w:rsidRPr="00A60758" w:rsidRDefault="00A60758" w:rsidP="00A60758">
            <w:pPr>
              <w:ind w:left="34" w:right="34"/>
              <w:jc w:val="both"/>
              <w:rPr>
                <w:rFonts w:cs="Times New Roman"/>
              </w:rPr>
            </w:pPr>
            <w:r w:rsidRPr="00A60758">
              <w:rPr>
                <w:rFonts w:cs="Times New Roman"/>
              </w:rPr>
              <w:t>Polskie LNG w minionym roku wspierało liczne działania kulturalne i sportowe w mieście, z</w:t>
            </w:r>
            <w:r>
              <w:rPr>
                <w:rFonts w:cs="Times New Roman"/>
              </w:rPr>
              <w:t> </w:t>
            </w:r>
            <w:r w:rsidRPr="00A60758">
              <w:rPr>
                <w:rFonts w:cs="Times New Roman"/>
              </w:rPr>
              <w:t xml:space="preserve">których na pierwszym miejscu z pewnością należy wymienić: program „Bezpieczne Miasto”, Fundusz Wspierania Inicjatyw Lokalnych LNG, budowę strefy rekreacyjnej i parkingu przy plaży w </w:t>
            </w:r>
            <w:proofErr w:type="spellStart"/>
            <w:r w:rsidRPr="00A60758">
              <w:rPr>
                <w:rFonts w:cs="Times New Roman"/>
              </w:rPr>
              <w:t>Warszowie</w:t>
            </w:r>
            <w:proofErr w:type="spellEnd"/>
            <w:r w:rsidRPr="00A60758">
              <w:rPr>
                <w:rFonts w:cs="Times New Roman"/>
              </w:rPr>
              <w:t>, budowę jednostki straży pożarnej, sponsorowanie klubów sportowych (m.in. MMKS Maraton, UKS Prawobrzeże, MKS Flota, UKS Keja) oraz obiektów kulturalnych (m.in. Muzeum Obrony Wybrzeża w Forcie Gerh</w:t>
            </w:r>
            <w:r w:rsidR="00C74749">
              <w:rPr>
                <w:rFonts w:cs="Times New Roman"/>
              </w:rPr>
              <w:t xml:space="preserve">arda, Podziemnego Miasta - Baterii </w:t>
            </w:r>
            <w:proofErr w:type="spellStart"/>
            <w:r w:rsidR="00C74749">
              <w:rPr>
                <w:rFonts w:cs="Times New Roman"/>
              </w:rPr>
              <w:t>Vineta</w:t>
            </w:r>
            <w:proofErr w:type="spellEnd"/>
            <w:r w:rsidR="00C74749">
              <w:rPr>
                <w:rFonts w:cs="Times New Roman"/>
              </w:rPr>
              <w:t xml:space="preserve"> i Latarni M</w:t>
            </w:r>
            <w:r w:rsidRPr="00A60758">
              <w:rPr>
                <w:rFonts w:cs="Times New Roman"/>
              </w:rPr>
              <w:t xml:space="preserve">orskiej) i wydarzeń kulturalnych (m.in. FAMA, Dni Twierdzy na wyspach, Festiwal im. Marka Grechuty, </w:t>
            </w:r>
            <w:proofErr w:type="spellStart"/>
            <w:r w:rsidRPr="00A60758">
              <w:rPr>
                <w:rFonts w:cs="Times New Roman"/>
              </w:rPr>
              <w:t>Sail</w:t>
            </w:r>
            <w:proofErr w:type="spellEnd"/>
            <w:r w:rsidRPr="00A60758">
              <w:rPr>
                <w:rFonts w:cs="Times New Roman"/>
              </w:rPr>
              <w:t xml:space="preserve"> Świnoujście).</w:t>
            </w:r>
          </w:p>
          <w:p w:rsidR="00BF3769" w:rsidRPr="00D33B7D" w:rsidRDefault="00A60758" w:rsidP="00A1105A">
            <w:pPr>
              <w:ind w:left="34" w:right="34"/>
              <w:jc w:val="both"/>
              <w:rPr>
                <w:rFonts w:cs="Times New Roman"/>
              </w:rPr>
            </w:pPr>
            <w:r w:rsidRPr="00A60758">
              <w:rPr>
                <w:rFonts w:cs="Times New Roman"/>
              </w:rPr>
              <w:t>Firma jest laureatem Nagrody Prezydenta Miasta – Tryton 2014 w kategorii II, Działalność kulturalna, społeczna, edukacja i sport.</w:t>
            </w:r>
          </w:p>
        </w:tc>
        <w:tc>
          <w:tcPr>
            <w:tcW w:w="1559" w:type="dxa"/>
          </w:tcPr>
          <w:p w:rsidR="006973EF" w:rsidRDefault="006973EF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Mieszkańcy</w:t>
            </w:r>
          </w:p>
          <w:p w:rsidR="006973EF" w:rsidRDefault="006973EF" w:rsidP="00B96F7C">
            <w:pPr>
              <w:jc w:val="center"/>
              <w:rPr>
                <w:rFonts w:cs="Times New Roman"/>
              </w:rPr>
            </w:pPr>
          </w:p>
          <w:p w:rsidR="00690973" w:rsidRPr="0072079F" w:rsidRDefault="00A72BA6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Członkowie</w:t>
            </w:r>
            <w:r w:rsidR="00B96F7C" w:rsidRPr="0072079F">
              <w:rPr>
                <w:rFonts w:cs="Times New Roman"/>
              </w:rPr>
              <w:t xml:space="preserve"> Kapituły</w:t>
            </w:r>
          </w:p>
        </w:tc>
      </w:tr>
      <w:tr w:rsidR="00B96F7C" w:rsidRPr="0072079F" w:rsidTr="006B06F0">
        <w:trPr>
          <w:trHeight w:val="1134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B96F7C" w:rsidRPr="00854F38" w:rsidRDefault="00B96F7C" w:rsidP="005045B2">
            <w:pPr>
              <w:rPr>
                <w:rFonts w:cs="Times New Roman"/>
                <w:b/>
              </w:rPr>
            </w:pPr>
            <w:proofErr w:type="spellStart"/>
            <w:r w:rsidRPr="00854F38">
              <w:rPr>
                <w:rFonts w:cs="Times New Roman"/>
                <w:b/>
              </w:rPr>
              <w:t>Poltramp</w:t>
            </w:r>
            <w:proofErr w:type="spellEnd"/>
            <w:r w:rsidRPr="00854F38">
              <w:rPr>
                <w:rFonts w:cs="Times New Roman"/>
                <w:b/>
              </w:rPr>
              <w:t xml:space="preserve"> Yard S</w:t>
            </w:r>
            <w:r w:rsidR="00313960">
              <w:rPr>
                <w:rFonts w:cs="Times New Roman"/>
                <w:b/>
              </w:rPr>
              <w:t>.A.</w:t>
            </w:r>
          </w:p>
        </w:tc>
        <w:tc>
          <w:tcPr>
            <w:tcW w:w="2268" w:type="dxa"/>
          </w:tcPr>
          <w:p w:rsidR="00B96F7C" w:rsidRPr="00854F38" w:rsidRDefault="00CE3248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 xml:space="preserve">Kazimierz </w:t>
            </w:r>
            <w:proofErr w:type="spellStart"/>
            <w:r w:rsidRPr="00854F38">
              <w:rPr>
                <w:rFonts w:cs="Times New Roman"/>
                <w:b/>
              </w:rPr>
              <w:t>Frukacz</w:t>
            </w:r>
            <w:proofErr w:type="spellEnd"/>
            <w:r w:rsidRPr="00854F38">
              <w:rPr>
                <w:rFonts w:cs="Times New Roman"/>
                <w:b/>
              </w:rPr>
              <w:t xml:space="preserve"> </w:t>
            </w:r>
            <w:r w:rsidR="0072079F" w:rsidRPr="00854F38">
              <w:rPr>
                <w:rFonts w:cs="Times New Roman"/>
                <w:b/>
              </w:rPr>
              <w:t>Prezes Zarządu</w:t>
            </w:r>
          </w:p>
        </w:tc>
        <w:tc>
          <w:tcPr>
            <w:tcW w:w="8789" w:type="dxa"/>
            <w:vAlign w:val="center"/>
          </w:tcPr>
          <w:p w:rsidR="00B96F7C" w:rsidRPr="00D33B7D" w:rsidRDefault="00B96F7C" w:rsidP="0072079F">
            <w:pPr>
              <w:ind w:left="34" w:right="34"/>
              <w:jc w:val="both"/>
              <w:rPr>
                <w:rFonts w:cs="Times New Roman"/>
              </w:rPr>
            </w:pPr>
            <w:proofErr w:type="spellStart"/>
            <w:r w:rsidRPr="00D33B7D">
              <w:rPr>
                <w:rFonts w:cs="Times New Roman"/>
              </w:rPr>
              <w:t>Poltramp</w:t>
            </w:r>
            <w:proofErr w:type="spellEnd"/>
            <w:r w:rsidRPr="00D33B7D">
              <w:rPr>
                <w:rFonts w:cs="Times New Roman"/>
              </w:rPr>
              <w:t xml:space="preserve"> Yard S.A. to prężnie działająca firma w sektorze przemysłu stalowego i okrętowego. Profil działalności to remonty statków, budowy nowych jednostek pływających, remonty sekcji kadłuba i nadbudówek. Spółka współpracuje z wieloma armatorami wykonując kompleksowe przebudowy ich statków a także remonty i naprawy, które wykonuje w stoczni remontowej lub</w:t>
            </w:r>
            <w:r w:rsidR="0072079F" w:rsidRPr="00D33B7D">
              <w:rPr>
                <w:rFonts w:cs="Times New Roman"/>
              </w:rPr>
              <w:t> </w:t>
            </w:r>
            <w:r w:rsidRPr="00D33B7D">
              <w:rPr>
                <w:rFonts w:cs="Times New Roman"/>
              </w:rPr>
              <w:t xml:space="preserve">podczas wyjazdów do wszystkich portów świata. Zakres </w:t>
            </w:r>
            <w:r w:rsidR="0072079F" w:rsidRPr="00D33B7D">
              <w:rPr>
                <w:rFonts w:cs="Times New Roman"/>
              </w:rPr>
              <w:t>prac nie ogranicza się tylko do </w:t>
            </w:r>
            <w:r w:rsidRPr="00D33B7D">
              <w:rPr>
                <w:rFonts w:cs="Times New Roman"/>
              </w:rPr>
              <w:t>przemysłu morskiego, oferowane są również usługi na lądzie, takie jak wykonywanie konstrukcji stalowych, instalacji przemysłowych, remonty zespołów napędowych.</w:t>
            </w:r>
          </w:p>
          <w:p w:rsidR="00BD427F" w:rsidRDefault="00B96F7C" w:rsidP="00247647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 xml:space="preserve">W 2015 r. </w:t>
            </w:r>
            <w:proofErr w:type="spellStart"/>
            <w:r w:rsidRPr="00D33B7D">
              <w:rPr>
                <w:rFonts w:cs="Times New Roman"/>
              </w:rPr>
              <w:t>Poltramp</w:t>
            </w:r>
            <w:proofErr w:type="spellEnd"/>
            <w:r w:rsidRPr="00D33B7D">
              <w:rPr>
                <w:rFonts w:cs="Times New Roman"/>
              </w:rPr>
              <w:t xml:space="preserve"> Yard </w:t>
            </w:r>
            <w:r w:rsidR="00B01F9B">
              <w:rPr>
                <w:rFonts w:cs="Times New Roman"/>
              </w:rPr>
              <w:t xml:space="preserve">S.A. </w:t>
            </w:r>
            <w:r w:rsidRPr="00D33B7D">
              <w:rPr>
                <w:rFonts w:cs="Times New Roman"/>
              </w:rPr>
              <w:t xml:space="preserve">kontynuował działalność, w wyniku której m.in. zwodowano zbudowany przez stocznię statek dla armatora farm rybnych w Norwegii. </w:t>
            </w:r>
            <w:r w:rsidR="00B01F9B">
              <w:rPr>
                <w:rFonts w:cs="Times New Roman"/>
              </w:rPr>
              <w:t xml:space="preserve">Dzięki inwestycjom Spółki została oddana do użytku hala produkcyjna, w której powstają kadłuby zaprojektowanych w stoczni </w:t>
            </w:r>
            <w:r w:rsidR="007345A8">
              <w:rPr>
                <w:rFonts w:cs="Times New Roman"/>
              </w:rPr>
              <w:t>jednostek</w:t>
            </w:r>
            <w:r w:rsidR="00B01F9B">
              <w:rPr>
                <w:rFonts w:cs="Times New Roman"/>
              </w:rPr>
              <w:t xml:space="preserve">. </w:t>
            </w:r>
            <w:r w:rsidRPr="00D33B7D">
              <w:rPr>
                <w:rFonts w:cs="Times New Roman"/>
              </w:rPr>
              <w:t>Dodowem na stały rozwój firmy jest również fakt przekształcenia w ubiegłym roku formy prawnej spółki ze spółki z ograniczoną odpowiedzialnością w spółkę akcyjną.</w:t>
            </w:r>
            <w:r w:rsidR="00B01F9B">
              <w:rPr>
                <w:rFonts w:cs="Times New Roman"/>
              </w:rPr>
              <w:t xml:space="preserve"> </w:t>
            </w:r>
          </w:p>
          <w:p w:rsidR="00B01F9B" w:rsidRPr="00D33B7D" w:rsidRDefault="00B01F9B" w:rsidP="00247647">
            <w:pPr>
              <w:ind w:left="34"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 jest laureatem Nagrody Prezydenta Miasta – TRYTON 2012  w kategorii I. Gospodarka i Przedsiębiorczość.</w:t>
            </w:r>
          </w:p>
        </w:tc>
        <w:tc>
          <w:tcPr>
            <w:tcW w:w="1559" w:type="dxa"/>
          </w:tcPr>
          <w:p w:rsidR="00B96F7C" w:rsidRDefault="00767BAC" w:rsidP="00CE32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Mieszkańcy</w:t>
            </w:r>
          </w:p>
          <w:p w:rsidR="00BB62C7" w:rsidRDefault="00BB62C7" w:rsidP="00BB62C7">
            <w:pPr>
              <w:rPr>
                <w:rFonts w:cs="Times New Roman"/>
              </w:rPr>
            </w:pPr>
          </w:p>
          <w:p w:rsidR="00BB62C7" w:rsidRPr="0072079F" w:rsidRDefault="00BB62C7" w:rsidP="00CE32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Członek Kapituły</w:t>
            </w:r>
          </w:p>
        </w:tc>
      </w:tr>
      <w:tr w:rsidR="00B96F7C" w:rsidRPr="0072079F" w:rsidTr="006B06F0">
        <w:trPr>
          <w:trHeight w:val="1134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CE3248" w:rsidRDefault="00CE3248" w:rsidP="005045B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Gospodarstwo Agroturystyczne </w:t>
            </w:r>
          </w:p>
          <w:p w:rsidR="00B96F7C" w:rsidRPr="00854F38" w:rsidRDefault="00B96F7C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Wyspa Skarbów</w:t>
            </w:r>
          </w:p>
        </w:tc>
        <w:tc>
          <w:tcPr>
            <w:tcW w:w="2268" w:type="dxa"/>
          </w:tcPr>
          <w:p w:rsidR="00B96F7C" w:rsidRPr="00854F38" w:rsidRDefault="00B96F7C" w:rsidP="005045B2">
            <w:pPr>
              <w:rPr>
                <w:rFonts w:eastAsia="Tahoma" w:cs="Times New Roman"/>
                <w:b/>
              </w:rPr>
            </w:pPr>
            <w:r w:rsidRPr="00854F38">
              <w:rPr>
                <w:rFonts w:eastAsia="Tahoma" w:cs="Times New Roman"/>
                <w:b/>
              </w:rPr>
              <w:t xml:space="preserve">Barbara </w:t>
            </w:r>
            <w:proofErr w:type="spellStart"/>
            <w:r w:rsidRPr="00854F38">
              <w:rPr>
                <w:rFonts w:eastAsia="Tahoma" w:cs="Times New Roman"/>
                <w:b/>
              </w:rPr>
              <w:t>Bołzan</w:t>
            </w:r>
            <w:proofErr w:type="spellEnd"/>
          </w:p>
        </w:tc>
        <w:tc>
          <w:tcPr>
            <w:tcW w:w="8789" w:type="dxa"/>
            <w:vAlign w:val="center"/>
          </w:tcPr>
          <w:p w:rsidR="00B96F7C" w:rsidRPr="00D33B7D" w:rsidRDefault="00B96F7C" w:rsidP="0072079F">
            <w:pPr>
              <w:pStyle w:val="Bezodstpw"/>
              <w:ind w:left="34" w:right="34"/>
              <w:jc w:val="both"/>
              <w:rPr>
                <w:rFonts w:asciiTheme="minorHAnsi" w:hAnsiTheme="minorHAnsi"/>
              </w:rPr>
            </w:pPr>
            <w:r w:rsidRPr="00D33B7D">
              <w:rPr>
                <w:rFonts w:asciiTheme="minorHAnsi" w:hAnsiTheme="minorHAnsi"/>
              </w:rPr>
              <w:t xml:space="preserve">Gospodarstwo turystyczne Wyspa Skarbów położone jest w </w:t>
            </w:r>
            <w:r w:rsidRPr="00D33B7D">
              <w:rPr>
                <w:rFonts w:asciiTheme="minorHAnsi" w:eastAsia="Times New Roman" w:hAnsiTheme="minorHAnsi"/>
                <w:lang w:eastAsia="pl-PL"/>
              </w:rPr>
              <w:t>Świnoujściu na przeuroczej wyspie Karsibór. Przeds</w:t>
            </w:r>
            <w:r w:rsidR="00CE3248">
              <w:rPr>
                <w:rFonts w:asciiTheme="minorHAnsi" w:eastAsia="Times New Roman" w:hAnsiTheme="minorHAnsi"/>
                <w:lang w:eastAsia="pl-PL"/>
              </w:rPr>
              <w:t>ięwzięcie jest innowacyjnym nie tylko na lokalną skalę</w:t>
            </w:r>
            <w:r w:rsidRPr="00D33B7D">
              <w:rPr>
                <w:rFonts w:asciiTheme="minorHAnsi" w:eastAsia="Times New Roman" w:hAnsiTheme="minorHAnsi"/>
                <w:lang w:eastAsia="pl-PL"/>
              </w:rPr>
              <w:t xml:space="preserve"> połączeniem oferty noclegowej, domu kultury, klubu sporto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>wego oraz klubu przyrodniczego.</w:t>
            </w:r>
          </w:p>
          <w:p w:rsidR="00B96F7C" w:rsidRPr="00D33B7D" w:rsidRDefault="00B96F7C" w:rsidP="0072079F">
            <w:pPr>
              <w:pStyle w:val="Bezodstpw"/>
              <w:ind w:left="34" w:right="34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D33B7D">
              <w:rPr>
                <w:rFonts w:asciiTheme="minorHAnsi" w:eastAsia="Times New Roman" w:hAnsiTheme="minorHAnsi"/>
                <w:lang w:eastAsia="pl-PL"/>
              </w:rPr>
              <w:t>Do atrakcji jakie oferu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>je Wyspa Skarbów można zaliczyć</w:t>
            </w:r>
            <w:r w:rsidRPr="00D33B7D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B96F7C" w:rsidRPr="00D33B7D" w:rsidRDefault="00B96F7C" w:rsidP="00966F4F">
            <w:pPr>
              <w:pStyle w:val="Bezodstpw"/>
              <w:numPr>
                <w:ilvl w:val="0"/>
                <w:numId w:val="6"/>
              </w:numPr>
              <w:ind w:right="34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D33B7D">
              <w:rPr>
                <w:rFonts w:asciiTheme="minorHAnsi" w:eastAsia="Times New Roman" w:hAnsiTheme="minorHAnsi"/>
                <w:lang w:eastAsia="pl-PL"/>
              </w:rPr>
              <w:t>zajęcia sportowe: minigolf, trampolina, rowery jednokołowe, mostek linowy i diabelski, szczudła, narty pirack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>ie, statek widmo, lot na miotle;</w:t>
            </w:r>
          </w:p>
          <w:p w:rsidR="00B96F7C" w:rsidRPr="00D33B7D" w:rsidRDefault="00B96F7C" w:rsidP="00966F4F">
            <w:pPr>
              <w:pStyle w:val="Bezodstpw"/>
              <w:numPr>
                <w:ilvl w:val="0"/>
                <w:numId w:val="6"/>
              </w:numPr>
              <w:ind w:right="34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D33B7D">
              <w:rPr>
                <w:rFonts w:asciiTheme="minorHAnsi" w:eastAsia="Times New Roman" w:hAnsiTheme="minorHAnsi"/>
                <w:lang w:eastAsia="pl-PL"/>
              </w:rPr>
              <w:t>zawody sportowe i zręcznościowe, m.in. chodzenie po beczce, zawody łucznic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>ze wyścigi na szczudłach;</w:t>
            </w:r>
          </w:p>
          <w:p w:rsidR="00B96F7C" w:rsidRPr="00D33B7D" w:rsidRDefault="00B96F7C" w:rsidP="00966F4F">
            <w:pPr>
              <w:pStyle w:val="Bezodstpw"/>
              <w:numPr>
                <w:ilvl w:val="0"/>
                <w:numId w:val="6"/>
              </w:numPr>
              <w:ind w:right="34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D33B7D">
              <w:rPr>
                <w:rFonts w:asciiTheme="minorHAnsi" w:eastAsia="Times New Roman" w:hAnsiTheme="minorHAnsi"/>
                <w:lang w:eastAsia="pl-PL"/>
              </w:rPr>
              <w:t>gry terenowe, w tym przede w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>szystkim „Poszukiwanie skarbów”;</w:t>
            </w:r>
          </w:p>
          <w:p w:rsidR="00B96F7C" w:rsidRPr="00D33B7D" w:rsidRDefault="00B96F7C" w:rsidP="00966F4F">
            <w:pPr>
              <w:pStyle w:val="Bezodstpw"/>
              <w:numPr>
                <w:ilvl w:val="0"/>
                <w:numId w:val="6"/>
              </w:numPr>
              <w:ind w:right="34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D33B7D">
              <w:rPr>
                <w:rFonts w:asciiTheme="minorHAnsi" w:eastAsia="Times New Roman" w:hAnsiTheme="minorHAnsi"/>
                <w:lang w:eastAsia="pl-PL"/>
              </w:rPr>
              <w:t>inicjatywy kulturalne: koncerty, spotkania z malarzam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>i, rzeźbiarzami i podróżnikami;</w:t>
            </w:r>
          </w:p>
          <w:p w:rsidR="00B96F7C" w:rsidRPr="00D33B7D" w:rsidRDefault="00B96F7C" w:rsidP="00966F4F">
            <w:pPr>
              <w:pStyle w:val="Bezodstpw"/>
              <w:numPr>
                <w:ilvl w:val="0"/>
                <w:numId w:val="6"/>
              </w:numPr>
              <w:ind w:right="34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D33B7D">
              <w:rPr>
                <w:rFonts w:asciiTheme="minorHAnsi" w:eastAsia="Times New Roman" w:hAnsiTheme="minorHAnsi"/>
                <w:lang w:eastAsia="pl-PL"/>
              </w:rPr>
              <w:t>inicjatywy przyrodnicze: oglądanie i karmienie zwierząt, m.in. strusia afrykańskiego, kóz</w:t>
            </w:r>
            <w:r w:rsidR="00BD427F" w:rsidRPr="00D33B7D">
              <w:rPr>
                <w:rFonts w:asciiTheme="minorHAnsi" w:eastAsia="Times New Roman" w:hAnsiTheme="minorHAnsi"/>
                <w:lang w:eastAsia="pl-PL"/>
              </w:rPr>
              <w:t xml:space="preserve">, </w:t>
            </w:r>
            <w:proofErr w:type="spellStart"/>
            <w:r w:rsidR="00BD427F" w:rsidRPr="00D33B7D">
              <w:rPr>
                <w:rFonts w:asciiTheme="minorHAnsi" w:eastAsia="Times New Roman" w:hAnsiTheme="minorHAnsi"/>
                <w:lang w:eastAsia="pl-PL"/>
              </w:rPr>
              <w:t>kucy</w:t>
            </w:r>
            <w:proofErr w:type="spellEnd"/>
            <w:r w:rsidR="00BD427F" w:rsidRPr="00D33B7D">
              <w:rPr>
                <w:rFonts w:asciiTheme="minorHAnsi" w:eastAsia="Times New Roman" w:hAnsiTheme="minorHAnsi"/>
                <w:lang w:eastAsia="pl-PL"/>
              </w:rPr>
              <w:t xml:space="preserve"> szetlandzkich, królików.</w:t>
            </w:r>
          </w:p>
          <w:p w:rsidR="00BD427F" w:rsidRDefault="00B96F7C" w:rsidP="00247647">
            <w:pPr>
              <w:ind w:left="34" w:right="34"/>
              <w:jc w:val="both"/>
              <w:rPr>
                <w:rFonts w:eastAsia="Times New Roman" w:cs="Times New Roman"/>
              </w:rPr>
            </w:pPr>
            <w:r w:rsidRPr="00D33B7D">
              <w:rPr>
                <w:rFonts w:eastAsia="Times New Roman" w:cs="Times New Roman"/>
              </w:rPr>
              <w:t>Dzięki Wyspie Skarbów Świnoujście dysponuje wyjątkowym miejscem do spędzania czasu wolnego przez rodziny z dziećmi, jak również przez entuzjastów sportów i sztuki</w:t>
            </w:r>
            <w:r w:rsidR="00BD427F" w:rsidRPr="00D33B7D">
              <w:rPr>
                <w:rFonts w:eastAsia="Times New Roman" w:cs="Times New Roman"/>
              </w:rPr>
              <w:t>.</w:t>
            </w:r>
            <w:r w:rsidR="00F4252A">
              <w:rPr>
                <w:rFonts w:eastAsia="Times New Roman" w:cs="Times New Roman"/>
              </w:rPr>
              <w:t xml:space="preserve"> </w:t>
            </w:r>
            <w:r w:rsidR="00424ED2">
              <w:rPr>
                <w:rFonts w:eastAsia="Times New Roman" w:cs="Times New Roman"/>
              </w:rPr>
              <w:t xml:space="preserve">Gospodarstwo inspiruje do aktywnego wypoczynku. </w:t>
            </w:r>
          </w:p>
          <w:p w:rsidR="00424ED2" w:rsidRPr="00247647" w:rsidRDefault="00424ED2" w:rsidP="00424ED2">
            <w:pPr>
              <w:ind w:right="34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Założycielem Gospodarstwa był śp. Roman </w:t>
            </w:r>
            <w:proofErr w:type="spellStart"/>
            <w:r>
              <w:rPr>
                <w:rFonts w:eastAsia="Times New Roman" w:cs="Times New Roman"/>
              </w:rPr>
              <w:t>Bołzan</w:t>
            </w:r>
            <w:proofErr w:type="spellEnd"/>
            <w:r>
              <w:rPr>
                <w:rFonts w:eastAsia="Times New Roman" w:cs="Times New Roman"/>
              </w:rPr>
              <w:t>, patriota i miłośnik Wyspy Karsibór.</w:t>
            </w:r>
          </w:p>
        </w:tc>
        <w:tc>
          <w:tcPr>
            <w:tcW w:w="1559" w:type="dxa"/>
          </w:tcPr>
          <w:p w:rsidR="00CE3248" w:rsidRDefault="0082069A" w:rsidP="00CE32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Mieszkańcy</w:t>
            </w:r>
          </w:p>
          <w:p w:rsidR="00CE3248" w:rsidRDefault="00CE3248" w:rsidP="00CE3248">
            <w:pPr>
              <w:jc w:val="center"/>
              <w:rPr>
                <w:rFonts w:cs="Times New Roman"/>
              </w:rPr>
            </w:pPr>
          </w:p>
          <w:p w:rsidR="00CE3248" w:rsidRPr="0072079F" w:rsidRDefault="00CE3248" w:rsidP="00CE32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Członek Kapituły</w:t>
            </w:r>
          </w:p>
        </w:tc>
      </w:tr>
      <w:tr w:rsidR="00B96F7C" w:rsidRPr="0072079F" w:rsidTr="006B06F0">
        <w:trPr>
          <w:trHeight w:val="1134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B96F7C" w:rsidRPr="00854F38" w:rsidRDefault="00B96F7C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Winston Sp. z o.o.</w:t>
            </w:r>
          </w:p>
        </w:tc>
        <w:tc>
          <w:tcPr>
            <w:tcW w:w="2268" w:type="dxa"/>
          </w:tcPr>
          <w:p w:rsidR="00424ED2" w:rsidRPr="00854F38" w:rsidRDefault="00424ED2" w:rsidP="00A77C0E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Marcin Woźniak</w:t>
            </w:r>
          </w:p>
          <w:p w:rsidR="00B96F7C" w:rsidRPr="00854F38" w:rsidRDefault="00424ED2" w:rsidP="00A77C0E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 xml:space="preserve">Anna Węgrzyniak </w:t>
            </w:r>
            <w:r w:rsidR="00B96F7C" w:rsidRPr="00854F38">
              <w:rPr>
                <w:rFonts w:cs="Times New Roman"/>
                <w:b/>
              </w:rPr>
              <w:t>Członkowie Zarządu</w:t>
            </w:r>
          </w:p>
        </w:tc>
        <w:tc>
          <w:tcPr>
            <w:tcW w:w="8789" w:type="dxa"/>
            <w:vAlign w:val="center"/>
          </w:tcPr>
          <w:p w:rsidR="00437D34" w:rsidRPr="00D33B7D" w:rsidRDefault="00B96F7C" w:rsidP="00A77C0E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>Spółka Winston sp. z o.o. jest właścic</w:t>
            </w:r>
            <w:r w:rsidR="00AE0C52">
              <w:rPr>
                <w:rFonts w:cs="Times New Roman"/>
              </w:rPr>
              <w:t>ielem otwartej w 2015 r. Galerii</w:t>
            </w:r>
            <w:r w:rsidR="00A77C0E">
              <w:rPr>
                <w:rFonts w:cs="Times New Roman"/>
              </w:rPr>
              <w:t xml:space="preserve"> CORSO. W galerii znajduje </w:t>
            </w:r>
            <w:r w:rsidRPr="00D33B7D">
              <w:rPr>
                <w:rFonts w:cs="Times New Roman"/>
              </w:rPr>
              <w:t xml:space="preserve">się </w:t>
            </w:r>
            <w:r w:rsidR="00A77C0E">
              <w:rPr>
                <w:rFonts w:cs="Times New Roman"/>
              </w:rPr>
              <w:t>ponad 40 sklepów</w:t>
            </w:r>
            <w:r w:rsidRPr="00D33B7D">
              <w:rPr>
                <w:rFonts w:cs="Times New Roman"/>
              </w:rPr>
              <w:t>, m.in. z odzieżą i obuwiem (</w:t>
            </w:r>
            <w:proofErr w:type="spellStart"/>
            <w:r w:rsidR="00A77C0E">
              <w:rPr>
                <w:rFonts w:cs="Times New Roman"/>
              </w:rPr>
              <w:t>Solar</w:t>
            </w:r>
            <w:proofErr w:type="spellEnd"/>
            <w:r w:rsidR="00A77C0E">
              <w:rPr>
                <w:rFonts w:cs="Times New Roman"/>
              </w:rPr>
              <w:t xml:space="preserve">, </w:t>
            </w:r>
            <w:proofErr w:type="spellStart"/>
            <w:r w:rsidRPr="00D33B7D">
              <w:rPr>
                <w:rFonts w:cs="Times New Roman"/>
              </w:rPr>
              <w:t>H&amp;M</w:t>
            </w:r>
            <w:proofErr w:type="spellEnd"/>
            <w:r w:rsidRPr="00D33B7D">
              <w:rPr>
                <w:rFonts w:cs="Times New Roman"/>
              </w:rPr>
              <w:t xml:space="preserve">, </w:t>
            </w:r>
            <w:proofErr w:type="spellStart"/>
            <w:r w:rsidRPr="00D33B7D">
              <w:rPr>
                <w:rFonts w:cs="Times New Roman"/>
              </w:rPr>
              <w:t>Cropp</w:t>
            </w:r>
            <w:proofErr w:type="spellEnd"/>
            <w:r w:rsidRPr="00D33B7D">
              <w:rPr>
                <w:rFonts w:cs="Times New Roman"/>
              </w:rPr>
              <w:t xml:space="preserve">, </w:t>
            </w:r>
            <w:proofErr w:type="spellStart"/>
            <w:r w:rsidRPr="00D33B7D">
              <w:rPr>
                <w:rFonts w:cs="Times New Roman"/>
              </w:rPr>
              <w:t>Reserved</w:t>
            </w:r>
            <w:proofErr w:type="spellEnd"/>
            <w:r w:rsidRPr="00D33B7D">
              <w:rPr>
                <w:rFonts w:cs="Times New Roman"/>
              </w:rPr>
              <w:t xml:space="preserve">, </w:t>
            </w:r>
            <w:proofErr w:type="spellStart"/>
            <w:r w:rsidRPr="00D33B7D">
              <w:rPr>
                <w:rFonts w:cs="Times New Roman"/>
              </w:rPr>
              <w:t>S</w:t>
            </w:r>
            <w:r w:rsidR="00437D34">
              <w:rPr>
                <w:rFonts w:cs="Times New Roman"/>
              </w:rPr>
              <w:t>insay</w:t>
            </w:r>
            <w:proofErr w:type="spellEnd"/>
            <w:r w:rsidR="00437D34">
              <w:rPr>
                <w:rFonts w:cs="Times New Roman"/>
              </w:rPr>
              <w:t xml:space="preserve">, House, </w:t>
            </w:r>
            <w:proofErr w:type="spellStart"/>
            <w:r w:rsidR="00437D34">
              <w:rPr>
                <w:rFonts w:cs="Times New Roman"/>
              </w:rPr>
              <w:t>Mohito</w:t>
            </w:r>
            <w:proofErr w:type="spellEnd"/>
            <w:r w:rsidR="00437D34">
              <w:rPr>
                <w:rFonts w:cs="Times New Roman"/>
              </w:rPr>
              <w:t>, </w:t>
            </w:r>
            <w:proofErr w:type="spellStart"/>
            <w:r w:rsidRPr="00D33B7D">
              <w:rPr>
                <w:rFonts w:cs="Times New Roman"/>
              </w:rPr>
              <w:t>Martes</w:t>
            </w:r>
            <w:proofErr w:type="spellEnd"/>
            <w:r w:rsidRPr="00D33B7D">
              <w:rPr>
                <w:rFonts w:cs="Times New Roman"/>
              </w:rPr>
              <w:t xml:space="preserve"> Sport, </w:t>
            </w:r>
            <w:proofErr w:type="spellStart"/>
            <w:r w:rsidRPr="00D33B7D">
              <w:rPr>
                <w:rFonts w:cs="Times New Roman"/>
              </w:rPr>
              <w:t>Gatta</w:t>
            </w:r>
            <w:proofErr w:type="spellEnd"/>
            <w:r w:rsidRPr="00D33B7D">
              <w:rPr>
                <w:rFonts w:cs="Times New Roman"/>
              </w:rPr>
              <w:t xml:space="preserve">, </w:t>
            </w:r>
            <w:proofErr w:type="spellStart"/>
            <w:r w:rsidRPr="00D33B7D">
              <w:rPr>
                <w:rFonts w:cs="Times New Roman"/>
              </w:rPr>
              <w:t>Wistula</w:t>
            </w:r>
            <w:proofErr w:type="spellEnd"/>
            <w:r w:rsidRPr="00D33B7D">
              <w:rPr>
                <w:rFonts w:cs="Times New Roman"/>
              </w:rPr>
              <w:t>, Wól</w:t>
            </w:r>
            <w:r w:rsidR="0003615C">
              <w:rPr>
                <w:rFonts w:cs="Times New Roman"/>
              </w:rPr>
              <w:t xml:space="preserve">czanka, CCC), kino </w:t>
            </w:r>
            <w:proofErr w:type="spellStart"/>
            <w:r w:rsidR="0003615C">
              <w:rPr>
                <w:rFonts w:cs="Times New Roman"/>
              </w:rPr>
              <w:t>Cinema</w:t>
            </w:r>
            <w:proofErr w:type="spellEnd"/>
            <w:r w:rsidR="0003615C">
              <w:rPr>
                <w:rFonts w:cs="Times New Roman"/>
              </w:rPr>
              <w:t xml:space="preserve"> 3D z 3</w:t>
            </w:r>
            <w:r w:rsidRPr="00D33B7D">
              <w:rPr>
                <w:rFonts w:cs="Times New Roman"/>
              </w:rPr>
              <w:t xml:space="preserve"> salami kinowymi oraz lokale gastronomiczne. Galeria stworzyła mieszkańcom i tu</w:t>
            </w:r>
            <w:r w:rsidR="00BD427F" w:rsidRPr="00D33B7D">
              <w:rPr>
                <w:rFonts w:cs="Times New Roman"/>
              </w:rPr>
              <w:t xml:space="preserve">rystom doskonałą przestrzeń na </w:t>
            </w:r>
            <w:r w:rsidRPr="00D33B7D">
              <w:rPr>
                <w:rFonts w:cs="Times New Roman"/>
              </w:rPr>
              <w:t>zakupy oraz do spędzania wolnego czasu. Dowodem na wiel</w:t>
            </w:r>
            <w:r w:rsidR="00BD427F" w:rsidRPr="00D33B7D">
              <w:rPr>
                <w:rFonts w:cs="Times New Roman"/>
              </w:rPr>
              <w:t>ki sukces galerii jest fakt, iż </w:t>
            </w:r>
            <w:r w:rsidRPr="00D33B7D">
              <w:rPr>
                <w:rFonts w:cs="Times New Roman"/>
              </w:rPr>
              <w:t>przez pierwszy miesiąc odwiedziło ją 360 tys. osób. I</w:t>
            </w:r>
            <w:r w:rsidR="00BD427F" w:rsidRPr="00D33B7D">
              <w:rPr>
                <w:rFonts w:cs="Times New Roman"/>
              </w:rPr>
              <w:t>nwestycja została nominowana do </w:t>
            </w:r>
            <w:r w:rsidRPr="00D33B7D">
              <w:rPr>
                <w:rFonts w:cs="Times New Roman"/>
              </w:rPr>
              <w:t xml:space="preserve">nagrody </w:t>
            </w:r>
            <w:proofErr w:type="spellStart"/>
            <w:r w:rsidRPr="00D33B7D">
              <w:rPr>
                <w:rFonts w:cs="Times New Roman"/>
              </w:rPr>
              <w:t>Prime</w:t>
            </w:r>
            <w:proofErr w:type="spellEnd"/>
            <w:r w:rsidRPr="00D33B7D">
              <w:rPr>
                <w:rFonts w:cs="Times New Roman"/>
              </w:rPr>
              <w:t xml:space="preserve"> Property 2015 (w kategorii Inwestycja Roku), która ma za zadanie wyłonić firmy i projekty, które w ostatnim roku miały największy wpływ na rynek nieruchomości komercyjnych.</w:t>
            </w:r>
          </w:p>
        </w:tc>
        <w:tc>
          <w:tcPr>
            <w:tcW w:w="1559" w:type="dxa"/>
          </w:tcPr>
          <w:p w:rsidR="00767BAC" w:rsidRDefault="00767BAC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Mieszkańcy</w:t>
            </w:r>
          </w:p>
          <w:p w:rsidR="00B96F7C" w:rsidRDefault="00B96F7C" w:rsidP="00B96F7C">
            <w:pPr>
              <w:jc w:val="center"/>
              <w:rPr>
                <w:rFonts w:cs="Times New Roman"/>
              </w:rPr>
            </w:pPr>
          </w:p>
          <w:p w:rsidR="00A77C0E" w:rsidRPr="0072079F" w:rsidRDefault="00A77C0E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Członek Kapituły</w:t>
            </w:r>
          </w:p>
        </w:tc>
      </w:tr>
      <w:tr w:rsidR="00B96F7C" w:rsidRPr="0072079F" w:rsidTr="006B06F0">
        <w:trPr>
          <w:trHeight w:val="1134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B96F7C" w:rsidRPr="00854F38" w:rsidRDefault="00400A2D" w:rsidP="005045B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Morska Stocznia Remontowa</w:t>
            </w:r>
            <w:r w:rsidR="00B96F7C" w:rsidRPr="00854F38">
              <w:rPr>
                <w:rFonts w:cs="Times New Roman"/>
                <w:b/>
              </w:rPr>
              <w:t xml:space="preserve"> </w:t>
            </w:r>
            <w:r w:rsidR="006D0AF4">
              <w:rPr>
                <w:rFonts w:cs="Times New Roman"/>
                <w:b/>
              </w:rPr>
              <w:t>„</w:t>
            </w:r>
            <w:proofErr w:type="spellStart"/>
            <w:r w:rsidR="00B96F7C" w:rsidRPr="00854F38">
              <w:rPr>
                <w:rFonts w:cs="Times New Roman"/>
                <w:b/>
              </w:rPr>
              <w:t>Gryfia</w:t>
            </w:r>
            <w:proofErr w:type="spellEnd"/>
            <w:r w:rsidR="006D0AF4">
              <w:rPr>
                <w:rFonts w:cs="Times New Roman"/>
                <w:b/>
              </w:rPr>
              <w:t>”</w:t>
            </w:r>
            <w:r>
              <w:rPr>
                <w:rFonts w:cs="Times New Roman"/>
                <w:b/>
              </w:rPr>
              <w:t xml:space="preserve"> S.A.</w:t>
            </w:r>
          </w:p>
        </w:tc>
        <w:tc>
          <w:tcPr>
            <w:tcW w:w="2268" w:type="dxa"/>
          </w:tcPr>
          <w:p w:rsidR="00B96F7C" w:rsidRPr="00854F38" w:rsidRDefault="00A77C0E" w:rsidP="00A77C0E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 xml:space="preserve">Michał Kowalewski </w:t>
            </w:r>
            <w:r w:rsidR="00B96F7C" w:rsidRPr="00854F38">
              <w:rPr>
                <w:rFonts w:cs="Times New Roman"/>
                <w:b/>
              </w:rPr>
              <w:t>Prezes Zarządu</w:t>
            </w:r>
          </w:p>
        </w:tc>
        <w:tc>
          <w:tcPr>
            <w:tcW w:w="8789" w:type="dxa"/>
            <w:vAlign w:val="center"/>
          </w:tcPr>
          <w:p w:rsidR="00B96F7C" w:rsidRPr="00D33B7D" w:rsidRDefault="00B96F7C" w:rsidP="0072079F">
            <w:pPr>
              <w:ind w:left="34" w:right="34"/>
              <w:jc w:val="both"/>
              <w:rPr>
                <w:rFonts w:eastAsia="Tahoma" w:cs="Times New Roman"/>
              </w:rPr>
            </w:pPr>
            <w:r w:rsidRPr="00D33B7D">
              <w:rPr>
                <w:rFonts w:eastAsia="Tahoma" w:cs="Times New Roman"/>
              </w:rPr>
              <w:t xml:space="preserve">Morska Stocznia Remontowa </w:t>
            </w:r>
            <w:r w:rsidR="006D0AF4">
              <w:rPr>
                <w:rFonts w:eastAsia="Tahoma" w:cs="Times New Roman"/>
              </w:rPr>
              <w:t>„</w:t>
            </w:r>
            <w:proofErr w:type="spellStart"/>
            <w:r w:rsidRPr="00D33B7D">
              <w:rPr>
                <w:rFonts w:eastAsia="Tahoma" w:cs="Times New Roman"/>
              </w:rPr>
              <w:t>Gryfia</w:t>
            </w:r>
            <w:proofErr w:type="spellEnd"/>
            <w:r w:rsidR="006D0AF4">
              <w:rPr>
                <w:rFonts w:eastAsia="Tahoma" w:cs="Times New Roman"/>
              </w:rPr>
              <w:t>” S.A.</w:t>
            </w:r>
            <w:r w:rsidRPr="00D33B7D">
              <w:rPr>
                <w:rFonts w:eastAsia="Tahoma" w:cs="Times New Roman"/>
              </w:rPr>
              <w:t xml:space="preserve"> należy do grona najbardziej znanych stoczni remontowych w kraju i za granicą. Stocznię </w:t>
            </w:r>
            <w:r w:rsidR="006D0AF4">
              <w:rPr>
                <w:rFonts w:eastAsia="Tahoma" w:cs="Times New Roman"/>
              </w:rPr>
              <w:t>„</w:t>
            </w:r>
            <w:proofErr w:type="spellStart"/>
            <w:r w:rsidRPr="00D33B7D">
              <w:rPr>
                <w:rFonts w:eastAsia="Tahoma" w:cs="Times New Roman"/>
              </w:rPr>
              <w:t>Gryfia</w:t>
            </w:r>
            <w:proofErr w:type="spellEnd"/>
            <w:r w:rsidR="006D0AF4">
              <w:rPr>
                <w:rFonts w:eastAsia="Tahoma" w:cs="Times New Roman"/>
              </w:rPr>
              <w:t>”</w:t>
            </w:r>
            <w:r w:rsidRPr="00D33B7D">
              <w:rPr>
                <w:rFonts w:eastAsia="Tahoma" w:cs="Times New Roman"/>
              </w:rPr>
              <w:t xml:space="preserve"> cechuje doświadczenie, zaangażowanie oraz dbałość o</w:t>
            </w:r>
            <w:r w:rsidR="00BD427F" w:rsidRPr="00D33B7D">
              <w:rPr>
                <w:rFonts w:eastAsia="Tahoma" w:cs="Times New Roman"/>
              </w:rPr>
              <w:t xml:space="preserve"> środowisko. Firma </w:t>
            </w:r>
            <w:r w:rsidRPr="00D33B7D">
              <w:rPr>
                <w:rFonts w:eastAsia="Tahoma" w:cs="Times New Roman"/>
              </w:rPr>
              <w:t xml:space="preserve">oferuje usługi z zakresie remontów, przebudowy i budowy nowych jednostek. Wykonuje remonty awaryjne i przeglądy klasowe statków. Od ponad 15 lat jest również producentem konstrukcji stalowych </w:t>
            </w:r>
            <w:proofErr w:type="spellStart"/>
            <w:r w:rsidRPr="00D33B7D">
              <w:rPr>
                <w:rFonts w:eastAsia="Tahoma" w:cs="Times New Roman"/>
              </w:rPr>
              <w:t>offshore</w:t>
            </w:r>
            <w:proofErr w:type="spellEnd"/>
            <w:r w:rsidRPr="00D33B7D">
              <w:rPr>
                <w:rFonts w:eastAsia="Tahoma" w:cs="Times New Roman"/>
              </w:rPr>
              <w:t>.</w:t>
            </w:r>
          </w:p>
          <w:p w:rsidR="00B96F7C" w:rsidRPr="00D33B7D" w:rsidRDefault="00B96F7C" w:rsidP="0072079F">
            <w:pPr>
              <w:ind w:left="34" w:right="34"/>
              <w:jc w:val="both"/>
              <w:rPr>
                <w:rFonts w:eastAsia="Tahoma" w:cs="Times New Roman"/>
              </w:rPr>
            </w:pPr>
            <w:r w:rsidRPr="00D33B7D">
              <w:rPr>
                <w:rFonts w:eastAsia="Tahoma" w:cs="Times New Roman"/>
              </w:rPr>
              <w:t>W 2015 roku stocznia przeszła złożoną weryfikację, która pozwoliła sprawdzić przygotowanie zakładu pod kątem realizacji projektów specjalnych, dzięki czemu stocznia uzyskała koncesję na obrót materiałami i technologiami pochodzenia wojskowego, dzięki której uzyskała uprawienia do produkcji na potrzeby polskie Marynarki Wojennej. Tym samym stocznia potwierdziła swoją gotowość do udziału w realizacji projek</w:t>
            </w:r>
            <w:r w:rsidR="00E23AC1" w:rsidRPr="00D33B7D">
              <w:rPr>
                <w:rFonts w:eastAsia="Tahoma" w:cs="Times New Roman"/>
              </w:rPr>
              <w:t>tów związanych z modernizacją i </w:t>
            </w:r>
            <w:r w:rsidRPr="00D33B7D">
              <w:rPr>
                <w:rFonts w:eastAsia="Tahoma" w:cs="Times New Roman"/>
              </w:rPr>
              <w:t>rozbudową polskiej floty.</w:t>
            </w:r>
          </w:p>
          <w:p w:rsidR="00E23AC1" w:rsidRPr="00D33B7D" w:rsidRDefault="00B96F7C" w:rsidP="00A37B70">
            <w:pPr>
              <w:ind w:left="34" w:right="34"/>
              <w:jc w:val="both"/>
              <w:rPr>
                <w:rFonts w:eastAsia="Tahoma" w:cs="Times New Roman"/>
              </w:rPr>
            </w:pPr>
            <w:r w:rsidRPr="00D33B7D">
              <w:rPr>
                <w:rFonts w:eastAsia="Tahoma" w:cs="Times New Roman"/>
              </w:rPr>
              <w:t xml:space="preserve">Poza powyższym, uzasadnieniem do przyznania stoczni nagrody Trytona jest fakt, iż, pomimo </w:t>
            </w:r>
            <w:r w:rsidRPr="00D33B7D">
              <w:rPr>
                <w:rFonts w:eastAsia="Tahoma" w:cs="Times New Roman"/>
              </w:rPr>
              <w:lastRenderedPageBreak/>
              <w:t>licznych trudności, stocznia nadal funkcjonuje i od wielu pokoleń zapewnia pracę mieszkańcom Świnoujścia.</w:t>
            </w:r>
          </w:p>
        </w:tc>
        <w:tc>
          <w:tcPr>
            <w:tcW w:w="1559" w:type="dxa"/>
          </w:tcPr>
          <w:p w:rsidR="00B96F7C" w:rsidRPr="0072079F" w:rsidRDefault="00A77C0E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Mieszkańcy</w:t>
            </w:r>
          </w:p>
        </w:tc>
      </w:tr>
      <w:tr w:rsidR="00B96F7C" w:rsidRPr="0072079F" w:rsidTr="006B06F0">
        <w:trPr>
          <w:trHeight w:val="1134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B96F7C" w:rsidRPr="00854F38" w:rsidRDefault="00B96F7C" w:rsidP="006B06F0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Za</w:t>
            </w:r>
            <w:r w:rsidR="006B06F0">
              <w:rPr>
                <w:rFonts w:cs="Times New Roman"/>
                <w:b/>
              </w:rPr>
              <w:t xml:space="preserve">rząd </w:t>
            </w:r>
            <w:r w:rsidR="00692392">
              <w:rPr>
                <w:rFonts w:cs="Times New Roman"/>
                <w:b/>
              </w:rPr>
              <w:t xml:space="preserve">Morskich Portów Szczecin i </w:t>
            </w:r>
            <w:r w:rsidRPr="00854F38">
              <w:rPr>
                <w:rFonts w:cs="Times New Roman"/>
                <w:b/>
              </w:rPr>
              <w:t>Świnoujście S.A.</w:t>
            </w:r>
          </w:p>
        </w:tc>
        <w:tc>
          <w:tcPr>
            <w:tcW w:w="2268" w:type="dxa"/>
          </w:tcPr>
          <w:p w:rsidR="00B96F7C" w:rsidRPr="00854F38" w:rsidRDefault="00A77C0E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 xml:space="preserve">Zbigniew </w:t>
            </w:r>
            <w:proofErr w:type="spellStart"/>
            <w:r w:rsidRPr="00854F38">
              <w:rPr>
                <w:rFonts w:cs="Times New Roman"/>
                <w:b/>
              </w:rPr>
              <w:t>Miklewicz</w:t>
            </w:r>
            <w:proofErr w:type="spellEnd"/>
            <w:r w:rsidRPr="00854F38">
              <w:rPr>
                <w:rFonts w:cs="Times New Roman"/>
                <w:b/>
              </w:rPr>
              <w:t xml:space="preserve"> </w:t>
            </w:r>
            <w:r w:rsidR="00B96F7C" w:rsidRPr="00854F38">
              <w:rPr>
                <w:rFonts w:cs="Times New Roman"/>
                <w:b/>
              </w:rPr>
              <w:t>Prezes Zarządu</w:t>
            </w:r>
          </w:p>
        </w:tc>
        <w:tc>
          <w:tcPr>
            <w:tcW w:w="8789" w:type="dxa"/>
            <w:vAlign w:val="center"/>
          </w:tcPr>
          <w:p w:rsidR="00EB1A03" w:rsidRPr="00EB1A03" w:rsidRDefault="00EB1A03" w:rsidP="00EB1A03">
            <w:pPr>
              <w:ind w:left="34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Zarząd Morskich Portów Szczecin Świnoujście jest podmiotem powołanym do zarządzania portami o podstawowym znaczeniu dla gospodarki narodowej: w Szczecinie i w Świnoujściu. Spółka m.in. zarządza nieruchomościami i infrastrukturą portową oraz prognozuje i planuje rozwój portów.</w:t>
            </w:r>
          </w:p>
          <w:p w:rsidR="00EB1A03" w:rsidRPr="00EB1A03" w:rsidRDefault="00EB1A03" w:rsidP="00EB1A03">
            <w:pPr>
              <w:ind w:left="34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W ramach swoich zadań statutowych wiele kluczowych inwestycji spółka w ostatnich latach przeprowadziła w Świnoujściu: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left="459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inwestycja p.n. „Rozbudowa infrastruktury portowej w południowej części portu w Świnoujściu. Budowa stanowiska promowego nr 1”, w ramach której zbudowano nowe stanowiska promowe o długości 242,15 m i głębokości technicznej 12 m, galerię pasażerską zrealizowaną wzdłuż nowobudowanego nabrzeża i połączoną z galerią istniejącego stanowiska promowego nr 2 oraz infrastrukturę techniczną i uzbrojenie terenu.  Inwestycja była współfinansowana ze środków UE w ramach działania 7.2 Rozwój transportu morskiego Priorytetu VII: Transport przyjazny środowisku, Programu Operacyjnego Infrastruktura i Środowisko 2007 – 2013. Inwestycja prowadzona była w</w:t>
            </w:r>
            <w:r w:rsidR="007C5771">
              <w:rPr>
                <w:rFonts w:cs="Times New Roman"/>
              </w:rPr>
              <w:t> </w:t>
            </w:r>
            <w:r w:rsidRPr="00EB1A03">
              <w:rPr>
                <w:rFonts w:cs="Times New Roman"/>
              </w:rPr>
              <w:t>latach 2012-2015. Całkowity koszt inwestycji</w:t>
            </w:r>
            <w:r w:rsidR="00482EB6">
              <w:rPr>
                <w:rFonts w:cs="Times New Roman"/>
              </w:rPr>
              <w:t xml:space="preserve"> wynosi ponad 111</w:t>
            </w:r>
            <w:r w:rsidRPr="00EB1A03">
              <w:rPr>
                <w:rFonts w:cs="Times New Roman"/>
              </w:rPr>
              <w:t xml:space="preserve"> mln zł, z cze</w:t>
            </w:r>
            <w:r w:rsidR="00482EB6">
              <w:rPr>
                <w:rFonts w:cs="Times New Roman"/>
              </w:rPr>
              <w:t>go kwota dofinansowania to 54</w:t>
            </w:r>
            <w:r w:rsidRPr="00EB1A03">
              <w:rPr>
                <w:rFonts w:cs="Times New Roman"/>
              </w:rPr>
              <w:t xml:space="preserve"> mln zł;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left="459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inwestycja p.n. „Budowa infrastruktury terminali portowych w Szczecinie i Świnoujściu - miejsca postojowe”, w ramach której zbudowano miejsca postojowe dla pojazdów ciężarowych i osobowych wraz z niezbędną infrastrukturą towarzyszącą, spełniającą funkcje placu postojowego, umożliwiającego kompleksową obsługę transportu kołowego przed i po załadunku/wyładunku towaru;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left="459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dokonano zakupu holownika - statku pożarniczego z klasą pożarową Fi-Fi1 – ten nietypowy statek pożarniczy przystosowany jest do pełnienia funkcji jednostki przeciw-pożarowej i ma zastąpić wysłużoną jednostkę „Strażak 25”, a jego zakup został zrealizowany dzięki funduszom z UE;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left="459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budowa infrastruktury portowej, w tym stanowiska statkowego, a także infrastruktury umożliwiającej zamontowanie instalacji do przesyłu gazu ze stanowiska statkowego do</w:t>
            </w:r>
            <w:r w:rsidR="00A60758">
              <w:rPr>
                <w:rFonts w:cs="Times New Roman"/>
              </w:rPr>
              <w:t> </w:t>
            </w:r>
            <w:r w:rsidRPr="00EB1A03">
              <w:rPr>
                <w:rFonts w:cs="Times New Roman"/>
              </w:rPr>
              <w:t>części lądowej terminalu LNG.</w:t>
            </w:r>
          </w:p>
          <w:p w:rsidR="00EB1A03" w:rsidRPr="00EB1A03" w:rsidRDefault="00EB1A03" w:rsidP="00EB1A03">
            <w:pPr>
              <w:ind w:left="34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Wszystkie powyższe inwestycje wpływają na zwiększenie roli Świnoujścia jako jednego z</w:t>
            </w:r>
            <w:r w:rsidR="00A60758">
              <w:rPr>
                <w:rFonts w:cs="Times New Roman"/>
              </w:rPr>
              <w:t> </w:t>
            </w:r>
            <w:r w:rsidRPr="00EB1A03">
              <w:rPr>
                <w:rFonts w:cs="Times New Roman"/>
              </w:rPr>
              <w:t>najważniejszych polskich portów, znacznie poprawiając jego przepustowość oraz warunki bezpieczeństwa.</w:t>
            </w:r>
          </w:p>
          <w:p w:rsidR="00EB1A03" w:rsidRPr="00EB1A03" w:rsidRDefault="00EB1A03" w:rsidP="00EB1A03">
            <w:pPr>
              <w:ind w:left="34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Ze świnoujskich terenów portowych, administrowanych przez Zarząd Morskich Portów Szczecin Świnoujście S.A., w 2014 r.: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lastRenderedPageBreak/>
              <w:t>odprawiono 55,4 % pasażerów (tj. 969 tys. 512 osób),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wpłynęło 29,2 % (tj. 5 079 statków),</w:t>
            </w:r>
          </w:p>
          <w:p w:rsidR="00EB1A03" w:rsidRPr="00EB1A03" w:rsidRDefault="00EB1A03" w:rsidP="00EB1A03">
            <w:pPr>
              <w:numPr>
                <w:ilvl w:val="0"/>
                <w:numId w:val="4"/>
              </w:numPr>
              <w:ind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przeładowano 18,1 % towarów (tj. 12 468 tys. ton),</w:t>
            </w:r>
          </w:p>
          <w:p w:rsidR="00B96F7C" w:rsidRPr="00D33B7D" w:rsidRDefault="00EB1A03" w:rsidP="00A60758">
            <w:pPr>
              <w:ind w:left="34" w:right="34"/>
              <w:jc w:val="both"/>
              <w:rPr>
                <w:rFonts w:cs="Times New Roman"/>
              </w:rPr>
            </w:pPr>
            <w:r w:rsidRPr="00EB1A03">
              <w:rPr>
                <w:rFonts w:cs="Times New Roman"/>
              </w:rPr>
              <w:t>z wszystkich portów morskich w Polsce.</w:t>
            </w:r>
          </w:p>
        </w:tc>
        <w:tc>
          <w:tcPr>
            <w:tcW w:w="1559" w:type="dxa"/>
          </w:tcPr>
          <w:p w:rsidR="00B96F7C" w:rsidRPr="0072079F" w:rsidRDefault="00B96F7C" w:rsidP="00B96F7C">
            <w:pPr>
              <w:jc w:val="center"/>
              <w:rPr>
                <w:rFonts w:cs="Times New Roman"/>
              </w:rPr>
            </w:pPr>
            <w:r w:rsidRPr="0072079F">
              <w:rPr>
                <w:rFonts w:cs="Times New Roman"/>
              </w:rPr>
              <w:lastRenderedPageBreak/>
              <w:t>Członek Kapituły</w:t>
            </w:r>
          </w:p>
        </w:tc>
      </w:tr>
      <w:tr w:rsidR="00B96F7C" w:rsidRPr="0072079F" w:rsidTr="006B06F0">
        <w:trPr>
          <w:trHeight w:val="1134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B96F7C" w:rsidRDefault="00B96F7C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Urząd Morski</w:t>
            </w:r>
          </w:p>
          <w:p w:rsidR="007221F8" w:rsidRPr="00854F38" w:rsidRDefault="007221F8" w:rsidP="005045B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 Szczecinie</w:t>
            </w:r>
          </w:p>
        </w:tc>
        <w:tc>
          <w:tcPr>
            <w:tcW w:w="2268" w:type="dxa"/>
          </w:tcPr>
          <w:p w:rsidR="00B96F7C" w:rsidRPr="00854F38" w:rsidRDefault="007221F8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 xml:space="preserve">Andrzej Borowiec </w:t>
            </w:r>
            <w:r w:rsidR="00B96F7C" w:rsidRPr="00854F38">
              <w:rPr>
                <w:rFonts w:cs="Times New Roman"/>
                <w:b/>
              </w:rPr>
              <w:t>Dyrektor Urzędu</w:t>
            </w:r>
          </w:p>
        </w:tc>
        <w:tc>
          <w:tcPr>
            <w:tcW w:w="8789" w:type="dxa"/>
            <w:vAlign w:val="center"/>
          </w:tcPr>
          <w:p w:rsidR="000A2465" w:rsidRPr="000A2465" w:rsidRDefault="000A2465" w:rsidP="000A2465">
            <w:pPr>
              <w:ind w:left="34" w:right="34"/>
              <w:jc w:val="both"/>
              <w:rPr>
                <w:rFonts w:cs="Times New Roman"/>
              </w:rPr>
            </w:pPr>
            <w:r w:rsidRPr="000A2465">
              <w:rPr>
                <w:rFonts w:cs="Times New Roman"/>
              </w:rPr>
              <w:t xml:space="preserve">Jeden z trzech urzędów morskich w Polsce, będący terenowym organem administracji morskiej, obejmujący obszarem działania porty wodne, przystanie morskie i pas nadbrzeżny zachodniego wybrzeża Polski. W ostatnich latach Urząd Morski w Szczecinie przeprowadził bardzo ważne dla rozwoju portu w Świnoujściu inwestycje: </w:t>
            </w:r>
          </w:p>
          <w:p w:rsidR="000A2465" w:rsidRPr="000A2465" w:rsidRDefault="000A2465" w:rsidP="000A2465">
            <w:pPr>
              <w:numPr>
                <w:ilvl w:val="0"/>
                <w:numId w:val="3"/>
              </w:numPr>
              <w:ind w:left="459" w:right="34"/>
              <w:jc w:val="both"/>
              <w:rPr>
                <w:rFonts w:cs="Times New Roman"/>
              </w:rPr>
            </w:pPr>
            <w:r w:rsidRPr="000A2465">
              <w:rPr>
                <w:rFonts w:cs="Times New Roman"/>
              </w:rPr>
              <w:t xml:space="preserve">„Modernizacja toru wodnego Świnoujście – Szczecin (Kanał Piastowski i </w:t>
            </w:r>
            <w:proofErr w:type="spellStart"/>
            <w:r w:rsidRPr="000A2465">
              <w:rPr>
                <w:rFonts w:cs="Times New Roman"/>
              </w:rPr>
              <w:t>Mieliński</w:t>
            </w:r>
            <w:proofErr w:type="spellEnd"/>
            <w:r w:rsidRPr="000A2465">
              <w:rPr>
                <w:rFonts w:cs="Times New Roman"/>
              </w:rPr>
              <w:t>) – Etap II, strona wschodnia i zachodnia” – w ramach projektu wyburzono stare nabrzeże wraz z</w:t>
            </w:r>
            <w:r>
              <w:rPr>
                <w:rFonts w:cs="Times New Roman"/>
              </w:rPr>
              <w:t> </w:t>
            </w:r>
            <w:r w:rsidRPr="000A2465">
              <w:rPr>
                <w:rFonts w:cs="Times New Roman"/>
              </w:rPr>
              <w:t>przyległymi budynkami i wybudowano nowe nabrzeże postojowe Nr 91 o parametrach  głębokość 10,5 m. Projekt był współfinansowany z funduszy UE w ramach Programu Operacyjnego „Infrastruktura i Środowisko” (koszt to ok. 328 mln złotych, z czego dofinansowanie wyniosło około 256 mln zł);</w:t>
            </w:r>
          </w:p>
          <w:p w:rsidR="000A2465" w:rsidRPr="000A2465" w:rsidRDefault="000A2465" w:rsidP="000A2465">
            <w:pPr>
              <w:numPr>
                <w:ilvl w:val="0"/>
                <w:numId w:val="3"/>
              </w:numPr>
              <w:ind w:left="459" w:right="34"/>
              <w:jc w:val="both"/>
              <w:rPr>
                <w:rFonts w:cs="Times New Roman"/>
              </w:rPr>
            </w:pPr>
            <w:r w:rsidRPr="000A2465">
              <w:rPr>
                <w:rFonts w:cs="Times New Roman"/>
              </w:rPr>
              <w:t xml:space="preserve">budowa i utrzymanie infrastruktury portu zewnętrznego, w tym nowego falochronu, ostrogi, obrotnicy i toru </w:t>
            </w:r>
            <w:proofErr w:type="spellStart"/>
            <w:r w:rsidRPr="000A2465">
              <w:rPr>
                <w:rFonts w:cs="Times New Roman"/>
              </w:rPr>
              <w:t>podejściowego</w:t>
            </w:r>
            <w:proofErr w:type="spellEnd"/>
            <w:r w:rsidRPr="000A2465">
              <w:rPr>
                <w:rFonts w:cs="Times New Roman"/>
              </w:rPr>
              <w:t xml:space="preserve"> oraz nadzór nad bezpieczeństwem ruchu jednostek pływających;</w:t>
            </w:r>
          </w:p>
          <w:p w:rsidR="000A2465" w:rsidRPr="000A2465" w:rsidRDefault="000A2465" w:rsidP="000A2465">
            <w:pPr>
              <w:numPr>
                <w:ilvl w:val="0"/>
                <w:numId w:val="3"/>
              </w:numPr>
              <w:ind w:left="459" w:right="34"/>
              <w:jc w:val="both"/>
              <w:rPr>
                <w:rFonts w:cs="Times New Roman"/>
              </w:rPr>
            </w:pPr>
            <w:r w:rsidRPr="000A2465">
              <w:rPr>
                <w:rFonts w:cs="Times New Roman"/>
              </w:rPr>
              <w:t>„Modernizacja infrastruktury zapewniającej dostęp do portów w Świnoujściu i Szczecinie – oznakowanie nawigacyjne”, zrealizowane również dzięki funduszom UE w ramach Programu Operacyjnego „Infrastruktura i Środowisko”.</w:t>
            </w:r>
          </w:p>
          <w:p w:rsidR="000A2465" w:rsidRPr="000A2465" w:rsidRDefault="000A2465" w:rsidP="000A2465">
            <w:pPr>
              <w:ind w:left="34" w:right="34"/>
              <w:jc w:val="both"/>
              <w:rPr>
                <w:rFonts w:cs="Times New Roman"/>
              </w:rPr>
            </w:pPr>
            <w:r w:rsidRPr="000A2465">
              <w:rPr>
                <w:rFonts w:cs="Times New Roman"/>
              </w:rPr>
              <w:t xml:space="preserve">Wszystkie powyższe inwestycje znacznie poprawiły bezpieczeństwo i użyteczność toru wodnego i zwiększyły jego estetykę, jak również atrakcyjność samego Miasta. </w:t>
            </w:r>
          </w:p>
          <w:p w:rsidR="00D61900" w:rsidRPr="00D33B7D" w:rsidRDefault="000A2465" w:rsidP="000A2465">
            <w:pPr>
              <w:ind w:left="34" w:right="34"/>
              <w:jc w:val="both"/>
              <w:rPr>
                <w:rFonts w:cs="Times New Roman"/>
              </w:rPr>
            </w:pPr>
            <w:r w:rsidRPr="000A2465">
              <w:rPr>
                <w:rFonts w:cs="Times New Roman"/>
              </w:rPr>
              <w:t>Urząd Morski to także ważny partner Miasta pomagający w jego rozwoju, np. Dzielnicy Nadmorskiej. Jego profesjonalne zaangażowanie stanowiło ogromne wsparcie dla działań Miasta i przyczyniło się do weryfikacji map zagrożenia powodziowego poprzez zmianę metodologii obliczeń. Pozwoliło to na ograniczenie terenów wyłączonych spod zabudowy i</w:t>
            </w:r>
            <w:r>
              <w:rPr>
                <w:rFonts w:cs="Times New Roman"/>
              </w:rPr>
              <w:t> </w:t>
            </w:r>
            <w:r w:rsidRPr="000A2465">
              <w:rPr>
                <w:rFonts w:cs="Times New Roman"/>
              </w:rPr>
              <w:t>niewątpliwie wpłynie na rozwój Miasta. W dbałości o dziedzictwo kulturowe Urząd Morski w</w:t>
            </w:r>
            <w:r>
              <w:rPr>
                <w:rFonts w:cs="Times New Roman"/>
              </w:rPr>
              <w:t> </w:t>
            </w:r>
            <w:r w:rsidRPr="000A2465">
              <w:rPr>
                <w:rFonts w:cs="Times New Roman"/>
              </w:rPr>
              <w:t>2014 r. odrestaurował drugą tablicę upamiętniającą budowniczych falochronu centralnego. Jej ponowny montaż odbył się w grudniu 2015 r. Wszystkie te działania uzasadniają zgłoszenie instytucji do nagrody.</w:t>
            </w:r>
          </w:p>
        </w:tc>
        <w:tc>
          <w:tcPr>
            <w:tcW w:w="1559" w:type="dxa"/>
          </w:tcPr>
          <w:p w:rsidR="00B96F7C" w:rsidRPr="0072079F" w:rsidRDefault="00B96F7C" w:rsidP="00B96F7C">
            <w:pPr>
              <w:jc w:val="center"/>
              <w:rPr>
                <w:rFonts w:cs="Times New Roman"/>
              </w:rPr>
            </w:pPr>
            <w:r w:rsidRPr="0072079F">
              <w:rPr>
                <w:rFonts w:cs="Times New Roman"/>
              </w:rPr>
              <w:t>Członek Kapituły</w:t>
            </w:r>
          </w:p>
        </w:tc>
      </w:tr>
      <w:tr w:rsidR="00B96F7C" w:rsidRPr="0072079F" w:rsidTr="00EB1A03">
        <w:trPr>
          <w:trHeight w:val="549"/>
        </w:trPr>
        <w:tc>
          <w:tcPr>
            <w:tcW w:w="567" w:type="dxa"/>
          </w:tcPr>
          <w:p w:rsidR="00B96F7C" w:rsidRPr="0072079F" w:rsidRDefault="00B96F7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</w:p>
        </w:tc>
        <w:tc>
          <w:tcPr>
            <w:tcW w:w="2694" w:type="dxa"/>
          </w:tcPr>
          <w:p w:rsidR="00C86D3F" w:rsidRPr="00B70180" w:rsidRDefault="00C86D3F" w:rsidP="005045B2">
            <w:pPr>
              <w:rPr>
                <w:rFonts w:cs="Times New Roman"/>
                <w:b/>
                <w:lang w:val="en-US"/>
              </w:rPr>
            </w:pPr>
            <w:r w:rsidRPr="00B70180">
              <w:rPr>
                <w:rFonts w:cs="Times New Roman"/>
                <w:b/>
                <w:lang w:val="en-US"/>
              </w:rPr>
              <w:t xml:space="preserve">M&amp;M Solutions </w:t>
            </w:r>
            <w:proofErr w:type="spellStart"/>
            <w:r w:rsidRPr="00B70180">
              <w:rPr>
                <w:rFonts w:cs="Times New Roman"/>
                <w:b/>
                <w:lang w:val="en-US"/>
              </w:rPr>
              <w:t>s.c</w:t>
            </w:r>
            <w:proofErr w:type="spellEnd"/>
            <w:r w:rsidRPr="00B70180">
              <w:rPr>
                <w:rFonts w:cs="Times New Roman"/>
                <w:b/>
                <w:lang w:val="en-US"/>
              </w:rPr>
              <w:t>.</w:t>
            </w:r>
          </w:p>
          <w:p w:rsidR="00C86D3F" w:rsidRPr="00854F38" w:rsidRDefault="00C86D3F" w:rsidP="00C86D3F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Michał Barkas</w:t>
            </w:r>
          </w:p>
          <w:p w:rsidR="00C86D3F" w:rsidRDefault="00C86D3F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Maciej Maciejews</w:t>
            </w:r>
            <w:r>
              <w:rPr>
                <w:rFonts w:cs="Times New Roman"/>
                <w:b/>
              </w:rPr>
              <w:t>ki</w:t>
            </w:r>
          </w:p>
          <w:p w:rsidR="00B96F7C" w:rsidRPr="00854F38" w:rsidRDefault="00854F38" w:rsidP="005045B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Wypożyczalnia rowerów </w:t>
            </w:r>
            <w:proofErr w:type="spellStart"/>
            <w:r w:rsidR="00B96F7C" w:rsidRPr="00854F38">
              <w:rPr>
                <w:rFonts w:cs="Times New Roman"/>
                <w:b/>
                <w:szCs w:val="24"/>
              </w:rPr>
              <w:t>BalticBike</w:t>
            </w:r>
            <w:proofErr w:type="spellEnd"/>
          </w:p>
        </w:tc>
        <w:tc>
          <w:tcPr>
            <w:tcW w:w="2268" w:type="dxa"/>
          </w:tcPr>
          <w:p w:rsidR="00C86D3F" w:rsidRPr="00854F38" w:rsidRDefault="00C86D3F" w:rsidP="00C86D3F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Michał Barkas</w:t>
            </w:r>
          </w:p>
          <w:p w:rsidR="00C86D3F" w:rsidRPr="00854F38" w:rsidRDefault="00C86D3F" w:rsidP="00C86D3F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Maciej Maciejewski</w:t>
            </w:r>
          </w:p>
          <w:p w:rsidR="00B96F7C" w:rsidRPr="006B06F0" w:rsidRDefault="0072079F" w:rsidP="005045B2">
            <w:pPr>
              <w:rPr>
                <w:rFonts w:cs="Times New Roman"/>
                <w:b/>
              </w:rPr>
            </w:pPr>
            <w:r w:rsidRPr="00854F38">
              <w:rPr>
                <w:rFonts w:cs="Times New Roman"/>
                <w:b/>
              </w:rPr>
              <w:t>Właściciele</w:t>
            </w:r>
          </w:p>
        </w:tc>
        <w:tc>
          <w:tcPr>
            <w:tcW w:w="8789" w:type="dxa"/>
            <w:vAlign w:val="center"/>
          </w:tcPr>
          <w:p w:rsidR="00B96F7C" w:rsidRPr="00D33B7D" w:rsidRDefault="00B96F7C" w:rsidP="0072079F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>Spółce w ciągu zaledwie sześciu lat udało się zbudować jedną z największych w Polsce wypożyczalni rowerów. Posiada ona obecnie 700 różnego typu, wysokiej jakości rowerów i</w:t>
            </w:r>
            <w:r w:rsidR="00854F38" w:rsidRPr="00D33B7D">
              <w:rPr>
                <w:rFonts w:cs="Times New Roman"/>
              </w:rPr>
              <w:t> </w:t>
            </w:r>
            <w:r w:rsidRPr="00D33B7D">
              <w:rPr>
                <w:rFonts w:cs="Times New Roman"/>
              </w:rPr>
              <w:t>sprzęt (przyczepki, foteliki, kaski) umożliwiający rekreację rowerową całym rodzinom. W 2015 roku liczba klientów prze</w:t>
            </w:r>
            <w:r w:rsidR="00C86D3F">
              <w:rPr>
                <w:rFonts w:cs="Times New Roman"/>
              </w:rPr>
              <w:t>kroczyła 30 000</w:t>
            </w:r>
            <w:r w:rsidR="00854F38" w:rsidRPr="00D33B7D">
              <w:rPr>
                <w:rFonts w:cs="Times New Roman"/>
              </w:rPr>
              <w:t xml:space="preserve"> co sprawia, że </w:t>
            </w:r>
            <w:r w:rsidRPr="00D33B7D">
              <w:rPr>
                <w:rFonts w:cs="Times New Roman"/>
              </w:rPr>
              <w:t xml:space="preserve">wypożyczalnia </w:t>
            </w:r>
            <w:proofErr w:type="spellStart"/>
            <w:r w:rsidRPr="00D33B7D">
              <w:rPr>
                <w:rFonts w:cs="Times New Roman"/>
              </w:rPr>
              <w:t>BalticBike</w:t>
            </w:r>
            <w:proofErr w:type="spellEnd"/>
            <w:r w:rsidRPr="00D33B7D">
              <w:rPr>
                <w:rFonts w:cs="Times New Roman"/>
              </w:rPr>
              <w:t xml:space="preserve"> należy do</w:t>
            </w:r>
            <w:r w:rsidR="00854F38" w:rsidRPr="00D33B7D">
              <w:rPr>
                <w:rFonts w:cs="Times New Roman"/>
              </w:rPr>
              <w:t> </w:t>
            </w:r>
            <w:r w:rsidRPr="00D33B7D">
              <w:rPr>
                <w:rFonts w:cs="Times New Roman"/>
              </w:rPr>
              <w:t>czołówki świnoujsk</w:t>
            </w:r>
            <w:r w:rsidR="00854F38" w:rsidRPr="00D33B7D">
              <w:rPr>
                <w:rFonts w:cs="Times New Roman"/>
              </w:rPr>
              <w:t xml:space="preserve">ich firm specjalizujących się w </w:t>
            </w:r>
            <w:r w:rsidRPr="00D33B7D">
              <w:rPr>
                <w:rFonts w:cs="Times New Roman"/>
              </w:rPr>
              <w:t>obsłudze ruchu turystycznego.</w:t>
            </w:r>
          </w:p>
          <w:p w:rsidR="00B96F7C" w:rsidRPr="00D33B7D" w:rsidRDefault="00B96F7C" w:rsidP="0072079F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 xml:space="preserve">Wypożyczalnia świadczy usługi całorocznie. Dysponuje czterema punktami obsługi klienta, współpracuje z kilkudziesięcioma obiektami hotelarskimi. W zakresie usług jest również dowóz </w:t>
            </w:r>
            <w:r w:rsidRPr="00D33B7D">
              <w:rPr>
                <w:rFonts w:cs="Times New Roman"/>
              </w:rPr>
              <w:lastRenderedPageBreak/>
              <w:t>i odbiór rowerów na telefon oraz bezpłatne wsparcie techniczne na</w:t>
            </w:r>
            <w:r w:rsidR="00854F38" w:rsidRPr="00D33B7D">
              <w:rPr>
                <w:rFonts w:cs="Times New Roman"/>
              </w:rPr>
              <w:t xml:space="preserve"> </w:t>
            </w:r>
            <w:r w:rsidRPr="00D33B7D">
              <w:rPr>
                <w:rFonts w:cs="Times New Roman"/>
              </w:rPr>
              <w:t>trasie. Do tego celu firma nabyła dwa samochody dostawcze.</w:t>
            </w:r>
          </w:p>
          <w:p w:rsidR="00B96F7C" w:rsidRPr="00D33B7D" w:rsidRDefault="00B96F7C" w:rsidP="0072079F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>Firma stosuje profesjonalne i nowoczesne narzędzia marketingowe.</w:t>
            </w:r>
          </w:p>
          <w:p w:rsidR="00854F38" w:rsidRPr="00D33B7D" w:rsidRDefault="00B96F7C" w:rsidP="00B04E36">
            <w:pPr>
              <w:ind w:left="34" w:right="34"/>
              <w:jc w:val="both"/>
              <w:rPr>
                <w:rFonts w:cs="Times New Roman"/>
              </w:rPr>
            </w:pPr>
            <w:r w:rsidRPr="00D33B7D">
              <w:rPr>
                <w:rFonts w:cs="Times New Roman"/>
              </w:rPr>
              <w:t xml:space="preserve">Firma obecnie daje całoroczne zatrudnienie 6 osobom. W głównym sezonie do zespołu </w:t>
            </w:r>
            <w:proofErr w:type="spellStart"/>
            <w:r w:rsidRPr="00D33B7D">
              <w:rPr>
                <w:rFonts w:cs="Times New Roman"/>
              </w:rPr>
              <w:t>BalticBike</w:t>
            </w:r>
            <w:proofErr w:type="spellEnd"/>
            <w:r w:rsidRPr="00D33B7D">
              <w:rPr>
                <w:rFonts w:cs="Times New Roman"/>
              </w:rPr>
              <w:t xml:space="preserve"> dołącza kolejnych 8 pracowników sezonowych,</w:t>
            </w:r>
            <w:r w:rsidR="00854F38" w:rsidRPr="00D33B7D">
              <w:rPr>
                <w:rFonts w:cs="Times New Roman"/>
              </w:rPr>
              <w:t xml:space="preserve"> głównie świnoujskich uczniów i </w:t>
            </w:r>
            <w:r w:rsidRPr="00D33B7D">
              <w:rPr>
                <w:rFonts w:cs="Times New Roman"/>
              </w:rPr>
              <w:t>studentów.</w:t>
            </w:r>
          </w:p>
        </w:tc>
        <w:tc>
          <w:tcPr>
            <w:tcW w:w="1559" w:type="dxa"/>
          </w:tcPr>
          <w:p w:rsidR="00B96F7C" w:rsidRPr="0072079F" w:rsidRDefault="00B96F7C" w:rsidP="00B96F7C">
            <w:pPr>
              <w:jc w:val="center"/>
              <w:rPr>
                <w:rFonts w:cs="Times New Roman"/>
              </w:rPr>
            </w:pPr>
            <w:r w:rsidRPr="0072079F">
              <w:rPr>
                <w:rFonts w:cs="Times New Roman"/>
              </w:rPr>
              <w:lastRenderedPageBreak/>
              <w:t>Członek Kapituły</w:t>
            </w:r>
          </w:p>
        </w:tc>
      </w:tr>
      <w:tr w:rsidR="0033328C" w:rsidRPr="0072079F" w:rsidTr="006B06F0">
        <w:trPr>
          <w:trHeight w:val="1134"/>
        </w:trPr>
        <w:tc>
          <w:tcPr>
            <w:tcW w:w="567" w:type="dxa"/>
          </w:tcPr>
          <w:p w:rsidR="0033328C" w:rsidRPr="0072079F" w:rsidRDefault="0033328C" w:rsidP="00376598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Uzna</w:t>
            </w:r>
          </w:p>
        </w:tc>
        <w:tc>
          <w:tcPr>
            <w:tcW w:w="2694" w:type="dxa"/>
          </w:tcPr>
          <w:p w:rsidR="0033328C" w:rsidRPr="0033328C" w:rsidRDefault="0033328C" w:rsidP="005045B2">
            <w:pPr>
              <w:rPr>
                <w:rFonts w:cs="Times New Roman"/>
                <w:b/>
              </w:rPr>
            </w:pPr>
            <w:proofErr w:type="spellStart"/>
            <w:r w:rsidRPr="0033328C">
              <w:rPr>
                <w:rFonts w:cs="Times New Roman"/>
                <w:b/>
              </w:rPr>
              <w:t>Uznamska</w:t>
            </w:r>
            <w:proofErr w:type="spellEnd"/>
            <w:r w:rsidRPr="0033328C">
              <w:rPr>
                <w:rFonts w:cs="Times New Roman"/>
                <w:b/>
              </w:rPr>
              <w:t xml:space="preserve"> Ambasada Chmielu Waldemar </w:t>
            </w:r>
            <w:proofErr w:type="spellStart"/>
            <w:r w:rsidRPr="0033328C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>aciesza</w:t>
            </w:r>
            <w:proofErr w:type="spellEnd"/>
          </w:p>
        </w:tc>
        <w:tc>
          <w:tcPr>
            <w:tcW w:w="2268" w:type="dxa"/>
          </w:tcPr>
          <w:p w:rsidR="0033328C" w:rsidRDefault="0033328C" w:rsidP="00C86D3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Waldemar </w:t>
            </w:r>
            <w:proofErr w:type="spellStart"/>
            <w:r>
              <w:rPr>
                <w:rFonts w:cs="Times New Roman"/>
                <w:b/>
              </w:rPr>
              <w:t>Maciesza</w:t>
            </w:r>
            <w:proofErr w:type="spellEnd"/>
          </w:p>
          <w:p w:rsidR="0033328C" w:rsidRPr="00854F38" w:rsidRDefault="00185BF4" w:rsidP="00C86D3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Wła</w:t>
            </w:r>
            <w:r w:rsidR="0033328C">
              <w:rPr>
                <w:rFonts w:cs="Times New Roman"/>
                <w:b/>
              </w:rPr>
              <w:t>ści</w:t>
            </w:r>
            <w:r>
              <w:rPr>
                <w:rFonts w:cs="Times New Roman"/>
                <w:b/>
              </w:rPr>
              <w:t>ci</w:t>
            </w:r>
            <w:r w:rsidR="0033328C">
              <w:rPr>
                <w:rFonts w:cs="Times New Roman"/>
                <w:b/>
              </w:rPr>
              <w:t>el</w:t>
            </w:r>
          </w:p>
        </w:tc>
        <w:tc>
          <w:tcPr>
            <w:tcW w:w="8789" w:type="dxa"/>
            <w:vAlign w:val="center"/>
          </w:tcPr>
          <w:p w:rsidR="0033328C" w:rsidRPr="00D33B7D" w:rsidRDefault="0033328C" w:rsidP="0072079F">
            <w:pPr>
              <w:ind w:left="34"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Twórca świnoujskiego piwa, które odniosło sukces biznesowy. Propagator lokalnej marki promującej Świnoujście. Pokazał różne zas</w:t>
            </w:r>
            <w:r w:rsidR="00185BF4">
              <w:rPr>
                <w:rFonts w:cs="Times New Roman"/>
              </w:rPr>
              <w:t>tosowania piwa m.in. do lecznictwa. Jego piwo jest wykorzystywane przez niektóre ośrodki SPA w Świnoujściu.</w:t>
            </w:r>
          </w:p>
        </w:tc>
        <w:tc>
          <w:tcPr>
            <w:tcW w:w="1559" w:type="dxa"/>
          </w:tcPr>
          <w:p w:rsidR="0033328C" w:rsidRPr="0072079F" w:rsidRDefault="00185BF4" w:rsidP="00B96F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Członek Kapituły</w:t>
            </w:r>
          </w:p>
        </w:tc>
      </w:tr>
    </w:tbl>
    <w:p w:rsidR="00D426CC" w:rsidRPr="0072079F" w:rsidRDefault="00D426CC" w:rsidP="00D426CC">
      <w:pPr>
        <w:spacing w:after="0"/>
        <w:rPr>
          <w:rFonts w:cs="Times New Roman"/>
          <w:sz w:val="12"/>
        </w:rPr>
      </w:pPr>
    </w:p>
    <w:sectPr w:rsidR="00D426CC" w:rsidRPr="0072079F" w:rsidSect="00532E45">
      <w:footerReference w:type="default" r:id="rId7"/>
      <w:pgSz w:w="16838" w:h="11906" w:orient="landscape"/>
      <w:pgMar w:top="568" w:right="82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58" w:rsidRDefault="00A60758" w:rsidP="00BB034D">
      <w:pPr>
        <w:spacing w:after="0" w:line="240" w:lineRule="auto"/>
      </w:pPr>
      <w:r>
        <w:separator/>
      </w:r>
    </w:p>
  </w:endnote>
  <w:endnote w:type="continuationSeparator" w:id="1">
    <w:p w:rsidR="00A60758" w:rsidRDefault="00A60758" w:rsidP="00B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278872"/>
      <w:docPartObj>
        <w:docPartGallery w:val="Page Numbers (Bottom of Page)"/>
        <w:docPartUnique/>
      </w:docPartObj>
    </w:sdtPr>
    <w:sdtContent>
      <w:p w:rsidR="00A60758" w:rsidRDefault="00E54DE6">
        <w:pPr>
          <w:pStyle w:val="Stopka"/>
          <w:jc w:val="right"/>
        </w:pPr>
        <w:fldSimple w:instr="PAGE   \* MERGEFORMAT">
          <w:r w:rsidR="007C5771">
            <w:rPr>
              <w:noProof/>
            </w:rPr>
            <w:t>4</w:t>
          </w:r>
        </w:fldSimple>
      </w:p>
    </w:sdtContent>
  </w:sdt>
  <w:p w:rsidR="00A60758" w:rsidRDefault="00A607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58" w:rsidRDefault="00A60758" w:rsidP="00BB034D">
      <w:pPr>
        <w:spacing w:after="0" w:line="240" w:lineRule="auto"/>
      </w:pPr>
      <w:r>
        <w:separator/>
      </w:r>
    </w:p>
  </w:footnote>
  <w:footnote w:type="continuationSeparator" w:id="1">
    <w:p w:rsidR="00A60758" w:rsidRDefault="00A60758" w:rsidP="00BB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505"/>
    <w:multiLevelType w:val="hybridMultilevel"/>
    <w:tmpl w:val="CDF48564"/>
    <w:lvl w:ilvl="0" w:tplc="E9CA984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E32"/>
    <w:multiLevelType w:val="hybridMultilevel"/>
    <w:tmpl w:val="F02A12AE"/>
    <w:lvl w:ilvl="0" w:tplc="3DF8C0D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01D53DB"/>
    <w:multiLevelType w:val="hybridMultilevel"/>
    <w:tmpl w:val="3C48256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B0C80"/>
    <w:multiLevelType w:val="hybridMultilevel"/>
    <w:tmpl w:val="722E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8745D"/>
    <w:multiLevelType w:val="hybridMultilevel"/>
    <w:tmpl w:val="E67A90B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EBE7BF8"/>
    <w:multiLevelType w:val="hybridMultilevel"/>
    <w:tmpl w:val="59E2856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F22"/>
    <w:rsid w:val="00010BA6"/>
    <w:rsid w:val="00016896"/>
    <w:rsid w:val="00016CDB"/>
    <w:rsid w:val="00031B61"/>
    <w:rsid w:val="0003615C"/>
    <w:rsid w:val="00037372"/>
    <w:rsid w:val="0004290B"/>
    <w:rsid w:val="00043697"/>
    <w:rsid w:val="000527D0"/>
    <w:rsid w:val="00056ABA"/>
    <w:rsid w:val="0006471E"/>
    <w:rsid w:val="00066C6A"/>
    <w:rsid w:val="00073C55"/>
    <w:rsid w:val="00077082"/>
    <w:rsid w:val="000A0770"/>
    <w:rsid w:val="000A1CEA"/>
    <w:rsid w:val="000A2465"/>
    <w:rsid w:val="000A2DD1"/>
    <w:rsid w:val="000A4A32"/>
    <w:rsid w:val="000A6713"/>
    <w:rsid w:val="000C6DD6"/>
    <w:rsid w:val="000D76A4"/>
    <w:rsid w:val="000D7895"/>
    <w:rsid w:val="000E187D"/>
    <w:rsid w:val="000E3DE6"/>
    <w:rsid w:val="000E54E1"/>
    <w:rsid w:val="00113089"/>
    <w:rsid w:val="00122BF3"/>
    <w:rsid w:val="00125332"/>
    <w:rsid w:val="00132D1C"/>
    <w:rsid w:val="00136886"/>
    <w:rsid w:val="00142468"/>
    <w:rsid w:val="00165D57"/>
    <w:rsid w:val="00174587"/>
    <w:rsid w:val="00184C35"/>
    <w:rsid w:val="00184DAE"/>
    <w:rsid w:val="00185BF4"/>
    <w:rsid w:val="001B2091"/>
    <w:rsid w:val="001C0AED"/>
    <w:rsid w:val="001D0A34"/>
    <w:rsid w:val="001D3C12"/>
    <w:rsid w:val="001F30A2"/>
    <w:rsid w:val="00203BAF"/>
    <w:rsid w:val="002045AE"/>
    <w:rsid w:val="00226BDB"/>
    <w:rsid w:val="00241386"/>
    <w:rsid w:val="00243E94"/>
    <w:rsid w:val="00247647"/>
    <w:rsid w:val="002705B4"/>
    <w:rsid w:val="002747C7"/>
    <w:rsid w:val="00285143"/>
    <w:rsid w:val="00294C38"/>
    <w:rsid w:val="00294E45"/>
    <w:rsid w:val="002A14CB"/>
    <w:rsid w:val="002B5DC7"/>
    <w:rsid w:val="002C26EF"/>
    <w:rsid w:val="002C57F2"/>
    <w:rsid w:val="002E6AF8"/>
    <w:rsid w:val="002F3FA9"/>
    <w:rsid w:val="002F6A3C"/>
    <w:rsid w:val="003022D9"/>
    <w:rsid w:val="00303569"/>
    <w:rsid w:val="00306E7C"/>
    <w:rsid w:val="00313960"/>
    <w:rsid w:val="003312FF"/>
    <w:rsid w:val="0033328C"/>
    <w:rsid w:val="00337ED5"/>
    <w:rsid w:val="00356F8D"/>
    <w:rsid w:val="00371B2B"/>
    <w:rsid w:val="00376598"/>
    <w:rsid w:val="00397446"/>
    <w:rsid w:val="003C4E56"/>
    <w:rsid w:val="003D18AC"/>
    <w:rsid w:val="003D1E91"/>
    <w:rsid w:val="00400A2D"/>
    <w:rsid w:val="00404156"/>
    <w:rsid w:val="004057DD"/>
    <w:rsid w:val="00414ECF"/>
    <w:rsid w:val="00422497"/>
    <w:rsid w:val="00424ED2"/>
    <w:rsid w:val="00437D34"/>
    <w:rsid w:val="004476A5"/>
    <w:rsid w:val="00447AC3"/>
    <w:rsid w:val="00453925"/>
    <w:rsid w:val="0046245D"/>
    <w:rsid w:val="00473AEE"/>
    <w:rsid w:val="00482EB6"/>
    <w:rsid w:val="00496108"/>
    <w:rsid w:val="004C1CFC"/>
    <w:rsid w:val="004D049C"/>
    <w:rsid w:val="005045B2"/>
    <w:rsid w:val="00511CAD"/>
    <w:rsid w:val="00532E45"/>
    <w:rsid w:val="00545E46"/>
    <w:rsid w:val="00546185"/>
    <w:rsid w:val="00550203"/>
    <w:rsid w:val="00552DFC"/>
    <w:rsid w:val="00553204"/>
    <w:rsid w:val="00593F1D"/>
    <w:rsid w:val="005C07E2"/>
    <w:rsid w:val="005C6533"/>
    <w:rsid w:val="005C67BC"/>
    <w:rsid w:val="005F21B5"/>
    <w:rsid w:val="005F3AEA"/>
    <w:rsid w:val="005F5ADC"/>
    <w:rsid w:val="00612F25"/>
    <w:rsid w:val="00641234"/>
    <w:rsid w:val="006441D9"/>
    <w:rsid w:val="00653083"/>
    <w:rsid w:val="00654209"/>
    <w:rsid w:val="00655299"/>
    <w:rsid w:val="0065647E"/>
    <w:rsid w:val="00665168"/>
    <w:rsid w:val="00665750"/>
    <w:rsid w:val="00665B4B"/>
    <w:rsid w:val="006707A5"/>
    <w:rsid w:val="00670A67"/>
    <w:rsid w:val="00690973"/>
    <w:rsid w:val="00692392"/>
    <w:rsid w:val="006973EF"/>
    <w:rsid w:val="006B06F0"/>
    <w:rsid w:val="006C7C2B"/>
    <w:rsid w:val="006D0AF4"/>
    <w:rsid w:val="006E59B8"/>
    <w:rsid w:val="00703598"/>
    <w:rsid w:val="00707663"/>
    <w:rsid w:val="00711532"/>
    <w:rsid w:val="0071532D"/>
    <w:rsid w:val="0072079F"/>
    <w:rsid w:val="007221F8"/>
    <w:rsid w:val="00725741"/>
    <w:rsid w:val="0072592C"/>
    <w:rsid w:val="007334BD"/>
    <w:rsid w:val="007345A8"/>
    <w:rsid w:val="007370A3"/>
    <w:rsid w:val="00754296"/>
    <w:rsid w:val="00767BAC"/>
    <w:rsid w:val="00774146"/>
    <w:rsid w:val="00781E37"/>
    <w:rsid w:val="00782E63"/>
    <w:rsid w:val="00785BBC"/>
    <w:rsid w:val="007C4151"/>
    <w:rsid w:val="007C5355"/>
    <w:rsid w:val="007C5771"/>
    <w:rsid w:val="007C642E"/>
    <w:rsid w:val="007E28C1"/>
    <w:rsid w:val="007E3350"/>
    <w:rsid w:val="0080089E"/>
    <w:rsid w:val="008013D7"/>
    <w:rsid w:val="008106FA"/>
    <w:rsid w:val="00814CC0"/>
    <w:rsid w:val="00815855"/>
    <w:rsid w:val="0082069A"/>
    <w:rsid w:val="00825AA2"/>
    <w:rsid w:val="00841A9D"/>
    <w:rsid w:val="0084510D"/>
    <w:rsid w:val="00845F2B"/>
    <w:rsid w:val="00851F1D"/>
    <w:rsid w:val="00854F38"/>
    <w:rsid w:val="00870959"/>
    <w:rsid w:val="00876A36"/>
    <w:rsid w:val="00882DD0"/>
    <w:rsid w:val="00890354"/>
    <w:rsid w:val="00891F11"/>
    <w:rsid w:val="00894F22"/>
    <w:rsid w:val="008A7EF4"/>
    <w:rsid w:val="008B559E"/>
    <w:rsid w:val="008C233F"/>
    <w:rsid w:val="008C45C4"/>
    <w:rsid w:val="008C4EC7"/>
    <w:rsid w:val="008C7448"/>
    <w:rsid w:val="008E3715"/>
    <w:rsid w:val="008F5393"/>
    <w:rsid w:val="00901465"/>
    <w:rsid w:val="00910606"/>
    <w:rsid w:val="00920FE7"/>
    <w:rsid w:val="009300A4"/>
    <w:rsid w:val="00932AC7"/>
    <w:rsid w:val="00936D5C"/>
    <w:rsid w:val="00936ED2"/>
    <w:rsid w:val="009553F2"/>
    <w:rsid w:val="0096693B"/>
    <w:rsid w:val="00966A7F"/>
    <w:rsid w:val="00966F4F"/>
    <w:rsid w:val="00970FFE"/>
    <w:rsid w:val="00972E53"/>
    <w:rsid w:val="00976067"/>
    <w:rsid w:val="00994FED"/>
    <w:rsid w:val="009A1129"/>
    <w:rsid w:val="009A26B6"/>
    <w:rsid w:val="009B47BD"/>
    <w:rsid w:val="009D075E"/>
    <w:rsid w:val="009D5961"/>
    <w:rsid w:val="009D65D8"/>
    <w:rsid w:val="009E1268"/>
    <w:rsid w:val="009E2C36"/>
    <w:rsid w:val="00A01B79"/>
    <w:rsid w:val="00A06392"/>
    <w:rsid w:val="00A1105A"/>
    <w:rsid w:val="00A13919"/>
    <w:rsid w:val="00A214AF"/>
    <w:rsid w:val="00A30CE5"/>
    <w:rsid w:val="00A37B70"/>
    <w:rsid w:val="00A37EDD"/>
    <w:rsid w:val="00A40DF3"/>
    <w:rsid w:val="00A60758"/>
    <w:rsid w:val="00A6165F"/>
    <w:rsid w:val="00A63763"/>
    <w:rsid w:val="00A72BA6"/>
    <w:rsid w:val="00A76C8B"/>
    <w:rsid w:val="00A7799C"/>
    <w:rsid w:val="00A77C0E"/>
    <w:rsid w:val="00A84BD7"/>
    <w:rsid w:val="00A96DD0"/>
    <w:rsid w:val="00AA22BF"/>
    <w:rsid w:val="00AA3336"/>
    <w:rsid w:val="00AA53CD"/>
    <w:rsid w:val="00AA62C2"/>
    <w:rsid w:val="00AB08AB"/>
    <w:rsid w:val="00AC34B5"/>
    <w:rsid w:val="00AC5002"/>
    <w:rsid w:val="00AD2314"/>
    <w:rsid w:val="00AD78FF"/>
    <w:rsid w:val="00AE0C52"/>
    <w:rsid w:val="00AE6BB2"/>
    <w:rsid w:val="00AF0AC9"/>
    <w:rsid w:val="00AF2905"/>
    <w:rsid w:val="00AF32BF"/>
    <w:rsid w:val="00AF595B"/>
    <w:rsid w:val="00B01F9B"/>
    <w:rsid w:val="00B0497B"/>
    <w:rsid w:val="00B04E36"/>
    <w:rsid w:val="00B15097"/>
    <w:rsid w:val="00B16ED0"/>
    <w:rsid w:val="00B17F2A"/>
    <w:rsid w:val="00B248CD"/>
    <w:rsid w:val="00B435C1"/>
    <w:rsid w:val="00B55A01"/>
    <w:rsid w:val="00B61502"/>
    <w:rsid w:val="00B67BB8"/>
    <w:rsid w:val="00B70180"/>
    <w:rsid w:val="00B86C60"/>
    <w:rsid w:val="00B9001D"/>
    <w:rsid w:val="00B90829"/>
    <w:rsid w:val="00B93021"/>
    <w:rsid w:val="00B96F7C"/>
    <w:rsid w:val="00BA3B5C"/>
    <w:rsid w:val="00BB034D"/>
    <w:rsid w:val="00BB62C7"/>
    <w:rsid w:val="00BC10EA"/>
    <w:rsid w:val="00BD4061"/>
    <w:rsid w:val="00BD427F"/>
    <w:rsid w:val="00BE60D3"/>
    <w:rsid w:val="00BF1600"/>
    <w:rsid w:val="00BF3769"/>
    <w:rsid w:val="00C0368B"/>
    <w:rsid w:val="00C234A0"/>
    <w:rsid w:val="00C3175D"/>
    <w:rsid w:val="00C34775"/>
    <w:rsid w:val="00C354B0"/>
    <w:rsid w:val="00C3672F"/>
    <w:rsid w:val="00C407DD"/>
    <w:rsid w:val="00C4546C"/>
    <w:rsid w:val="00C54C27"/>
    <w:rsid w:val="00C60D88"/>
    <w:rsid w:val="00C70169"/>
    <w:rsid w:val="00C74749"/>
    <w:rsid w:val="00C774EE"/>
    <w:rsid w:val="00C80AF2"/>
    <w:rsid w:val="00C86654"/>
    <w:rsid w:val="00C86D3F"/>
    <w:rsid w:val="00C870DA"/>
    <w:rsid w:val="00C92125"/>
    <w:rsid w:val="00C92355"/>
    <w:rsid w:val="00CB2298"/>
    <w:rsid w:val="00CB7399"/>
    <w:rsid w:val="00CC2E94"/>
    <w:rsid w:val="00CC748A"/>
    <w:rsid w:val="00CE1BC2"/>
    <w:rsid w:val="00CE3248"/>
    <w:rsid w:val="00CE562C"/>
    <w:rsid w:val="00CF7511"/>
    <w:rsid w:val="00D165A6"/>
    <w:rsid w:val="00D27400"/>
    <w:rsid w:val="00D33B7D"/>
    <w:rsid w:val="00D37A78"/>
    <w:rsid w:val="00D426CC"/>
    <w:rsid w:val="00D463AE"/>
    <w:rsid w:val="00D61900"/>
    <w:rsid w:val="00D640B8"/>
    <w:rsid w:val="00D805D7"/>
    <w:rsid w:val="00D85FEF"/>
    <w:rsid w:val="00D9037C"/>
    <w:rsid w:val="00D91E5C"/>
    <w:rsid w:val="00D953C9"/>
    <w:rsid w:val="00DA2A13"/>
    <w:rsid w:val="00DC0040"/>
    <w:rsid w:val="00DC6E3C"/>
    <w:rsid w:val="00DD4184"/>
    <w:rsid w:val="00DE2561"/>
    <w:rsid w:val="00DF02C6"/>
    <w:rsid w:val="00DF3812"/>
    <w:rsid w:val="00E0470C"/>
    <w:rsid w:val="00E17620"/>
    <w:rsid w:val="00E20CFC"/>
    <w:rsid w:val="00E23AC1"/>
    <w:rsid w:val="00E54DE6"/>
    <w:rsid w:val="00E66650"/>
    <w:rsid w:val="00E801CD"/>
    <w:rsid w:val="00E87ABF"/>
    <w:rsid w:val="00E96254"/>
    <w:rsid w:val="00EB1A03"/>
    <w:rsid w:val="00EB25ED"/>
    <w:rsid w:val="00EB3F32"/>
    <w:rsid w:val="00EB7DCB"/>
    <w:rsid w:val="00EC32A8"/>
    <w:rsid w:val="00EE2C50"/>
    <w:rsid w:val="00EF0990"/>
    <w:rsid w:val="00EF3CFB"/>
    <w:rsid w:val="00EF4B2F"/>
    <w:rsid w:val="00EF64C1"/>
    <w:rsid w:val="00F0361C"/>
    <w:rsid w:val="00F05A65"/>
    <w:rsid w:val="00F17BCC"/>
    <w:rsid w:val="00F22424"/>
    <w:rsid w:val="00F26481"/>
    <w:rsid w:val="00F32DB8"/>
    <w:rsid w:val="00F413E3"/>
    <w:rsid w:val="00F4252A"/>
    <w:rsid w:val="00F441DF"/>
    <w:rsid w:val="00F46665"/>
    <w:rsid w:val="00F7173A"/>
    <w:rsid w:val="00F73062"/>
    <w:rsid w:val="00F731C1"/>
    <w:rsid w:val="00F8640E"/>
    <w:rsid w:val="00FA4918"/>
    <w:rsid w:val="00FA63F9"/>
    <w:rsid w:val="00FB2533"/>
    <w:rsid w:val="00FB678B"/>
    <w:rsid w:val="00FE2523"/>
    <w:rsid w:val="00FF0327"/>
    <w:rsid w:val="00FF3496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4D"/>
  </w:style>
  <w:style w:type="paragraph" w:styleId="Stopka">
    <w:name w:val="footer"/>
    <w:basedOn w:val="Normalny"/>
    <w:link w:val="StopkaZnak"/>
    <w:uiPriority w:val="99"/>
    <w:unhideWhenUsed/>
    <w:rsid w:val="00B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4D"/>
  </w:style>
  <w:style w:type="paragraph" w:styleId="Akapitzlist">
    <w:name w:val="List Paragraph"/>
    <w:basedOn w:val="Normalny"/>
    <w:uiPriority w:val="34"/>
    <w:qFormat/>
    <w:rsid w:val="00376598"/>
    <w:pPr>
      <w:ind w:left="720"/>
      <w:contextualSpacing/>
    </w:pPr>
  </w:style>
  <w:style w:type="paragraph" w:styleId="Bezodstpw">
    <w:name w:val="No Spacing"/>
    <w:uiPriority w:val="1"/>
    <w:qFormat/>
    <w:rsid w:val="00B96F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4D"/>
  </w:style>
  <w:style w:type="paragraph" w:styleId="Stopka">
    <w:name w:val="footer"/>
    <w:basedOn w:val="Normalny"/>
    <w:link w:val="StopkaZnak"/>
    <w:uiPriority w:val="99"/>
    <w:unhideWhenUsed/>
    <w:rsid w:val="00B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jlenda</dc:creator>
  <cp:lastModifiedBy>um</cp:lastModifiedBy>
  <cp:revision>46</cp:revision>
  <cp:lastPrinted>2016-01-12T07:04:00Z</cp:lastPrinted>
  <dcterms:created xsi:type="dcterms:W3CDTF">2016-01-08T09:20:00Z</dcterms:created>
  <dcterms:modified xsi:type="dcterms:W3CDTF">2016-01-12T07:13:00Z</dcterms:modified>
</cp:coreProperties>
</file>