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6C" w:rsidRDefault="006E726C" w:rsidP="006E726C">
      <w:pPr>
        <w:pStyle w:val="Standard"/>
        <w:jc w:val="center"/>
      </w:pPr>
      <w:r>
        <w:t>WYKAZ NIERUCHOMOŚCI NR  112</w:t>
      </w:r>
    </w:p>
    <w:p w:rsidR="006E726C" w:rsidRDefault="006E726C" w:rsidP="006E726C">
      <w:pPr>
        <w:pStyle w:val="Standard"/>
        <w:jc w:val="center"/>
      </w:pPr>
      <w:r>
        <w:t>PRZEZNACZONEJ DO WYDZIERŻAWIENIA</w:t>
      </w:r>
    </w:p>
    <w:p w:rsidR="006E726C" w:rsidRDefault="006E726C" w:rsidP="006E726C">
      <w:pPr>
        <w:pStyle w:val="Standard"/>
        <w:jc w:val="center"/>
      </w:pPr>
    </w:p>
    <w:p w:rsidR="006E726C" w:rsidRDefault="006E726C" w:rsidP="006E726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Na podstawie art. 35 ustawy z dnia 21 sierpnia 1997r. o gospodarce nieruchomościami ( Dz.U. z 2020r. poz. 1990 ze zm.) przeznacza się do wydzierżawienia następujące nieruchomości z zasobu Gminy – Miasto Świnoujście:</w:t>
      </w:r>
    </w:p>
    <w:p w:rsidR="006E726C" w:rsidRDefault="006E726C" w:rsidP="006E726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0" w:type="dxa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1985"/>
        <w:gridCol w:w="1843"/>
        <w:gridCol w:w="3543"/>
        <w:gridCol w:w="3544"/>
        <w:gridCol w:w="2749"/>
      </w:tblGrid>
      <w:tr w:rsidR="006E726C" w:rsidTr="006E726C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726C" w:rsidRDefault="006E726C">
            <w:pPr>
              <w:pStyle w:val="Standard"/>
              <w:snapToGrid w:val="0"/>
              <w:jc w:val="center"/>
            </w:pPr>
            <w: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726C" w:rsidRDefault="006E726C">
            <w:pPr>
              <w:pStyle w:val="Standard"/>
              <w:snapToGrid w:val="0"/>
              <w:jc w:val="center"/>
            </w:pPr>
            <w:r>
              <w:t>Nr ewidencyjny nieruchomości i powierzchnia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726C" w:rsidRDefault="006E726C">
            <w:pPr>
              <w:pStyle w:val="Standard"/>
              <w:snapToGrid w:val="0"/>
              <w:jc w:val="center"/>
            </w:pPr>
            <w:r>
              <w:t>Położenie</w:t>
            </w:r>
          </w:p>
          <w:p w:rsidR="006E726C" w:rsidRDefault="006E726C">
            <w:pPr>
              <w:pStyle w:val="Standard"/>
              <w:jc w:val="center"/>
            </w:pPr>
            <w:r>
              <w:t>nieruchomości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726C" w:rsidRDefault="006E726C">
            <w:pPr>
              <w:pStyle w:val="Standard"/>
              <w:snapToGrid w:val="0"/>
              <w:jc w:val="center"/>
            </w:pPr>
            <w:r>
              <w:t>Przeznaczenie nieruchomości</w:t>
            </w:r>
          </w:p>
          <w:p w:rsidR="006E726C" w:rsidRDefault="006E726C">
            <w:pPr>
              <w:pStyle w:val="Standard"/>
              <w:snapToGrid w:val="0"/>
              <w:jc w:val="center"/>
            </w:pPr>
            <w:r>
              <w:t>w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726C" w:rsidRDefault="006E726C">
            <w:pPr>
              <w:pStyle w:val="Standard"/>
              <w:snapToGrid w:val="0"/>
              <w:jc w:val="center"/>
            </w:pPr>
            <w:r>
              <w:t>Rodzaj zbycia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726C" w:rsidRDefault="006E726C">
            <w:pPr>
              <w:pStyle w:val="Standard"/>
              <w:snapToGrid w:val="0"/>
              <w:jc w:val="center"/>
            </w:pPr>
            <w:r>
              <w:t>Wysokość czynszu dzierżawnego</w:t>
            </w:r>
          </w:p>
        </w:tc>
      </w:tr>
      <w:tr w:rsidR="006E726C" w:rsidTr="006E726C">
        <w:tc>
          <w:tcPr>
            <w:tcW w:w="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26C" w:rsidRDefault="006E726C">
            <w:pPr>
              <w:pStyle w:val="Standard"/>
              <w:snapToGrid w:val="0"/>
              <w:jc w:val="both"/>
            </w:pPr>
            <w:r>
              <w:t>1</w:t>
            </w:r>
          </w:p>
          <w:p w:rsidR="006E726C" w:rsidRDefault="006E726C">
            <w:pPr>
              <w:pStyle w:val="Standard"/>
              <w:snapToGrid w:val="0"/>
              <w:jc w:val="both"/>
            </w:pPr>
          </w:p>
          <w:p w:rsidR="006E726C" w:rsidRDefault="006E726C">
            <w:pPr>
              <w:pStyle w:val="Standard"/>
              <w:snapToGrid w:val="0"/>
              <w:jc w:val="both"/>
            </w:pPr>
          </w:p>
          <w:p w:rsidR="006E726C" w:rsidRDefault="006E726C">
            <w:pPr>
              <w:pStyle w:val="Standard"/>
              <w:snapToGrid w:val="0"/>
              <w:jc w:val="both"/>
            </w:pPr>
          </w:p>
          <w:p w:rsidR="006E726C" w:rsidRDefault="006E726C">
            <w:pPr>
              <w:pStyle w:val="Standard"/>
              <w:snapToGrid w:val="0"/>
              <w:jc w:val="both"/>
            </w:pPr>
          </w:p>
          <w:p w:rsidR="006E726C" w:rsidRDefault="006E726C">
            <w:pPr>
              <w:pStyle w:val="Standard"/>
              <w:snapToGrid w:val="0"/>
              <w:jc w:val="both"/>
            </w:pPr>
          </w:p>
          <w:p w:rsidR="006E726C" w:rsidRDefault="006E726C">
            <w:pPr>
              <w:pStyle w:val="Standard"/>
              <w:snapToGrid w:val="0"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26C" w:rsidRDefault="006E726C">
            <w:pPr>
              <w:pStyle w:val="Standard"/>
              <w:snapToGrid w:val="0"/>
              <w:jc w:val="both"/>
            </w:pPr>
            <w:r>
              <w:t>Działka nr 44/2 o pow. 293m², obręb 0015, KW nr SZ1W/00017463/0</w:t>
            </w:r>
          </w:p>
          <w:p w:rsidR="006E726C" w:rsidRDefault="006E726C">
            <w:pPr>
              <w:pStyle w:val="Standard"/>
              <w:snapToGrid w:val="0"/>
              <w:jc w:val="both"/>
            </w:pPr>
          </w:p>
          <w:p w:rsidR="006E726C" w:rsidRDefault="006E726C">
            <w:pPr>
              <w:pStyle w:val="Standard"/>
              <w:snapToGrid w:val="0"/>
              <w:jc w:val="both"/>
            </w:pPr>
          </w:p>
          <w:p w:rsidR="006E726C" w:rsidRDefault="006E726C">
            <w:pPr>
              <w:pStyle w:val="Standard"/>
              <w:snapToGrid w:val="0"/>
              <w:jc w:val="both"/>
            </w:pPr>
          </w:p>
          <w:p w:rsidR="006E726C" w:rsidRDefault="006E726C">
            <w:pPr>
              <w:pStyle w:val="Standard"/>
              <w:snapToGrid w:val="0"/>
              <w:jc w:val="both"/>
            </w:pPr>
          </w:p>
          <w:p w:rsidR="006E726C" w:rsidRDefault="006E726C">
            <w:pPr>
              <w:pStyle w:val="Standard"/>
              <w:snapToGrid w:val="0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726C" w:rsidRDefault="006E726C">
            <w:pPr>
              <w:pStyle w:val="Standard"/>
              <w:snapToGrid w:val="0"/>
              <w:jc w:val="both"/>
            </w:pPr>
            <w:r>
              <w:t xml:space="preserve">ul. Owocowa 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26C" w:rsidRDefault="006E726C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planem zagospodarowania  przestrzennego miasta Świnoujście  działka nr 44/2  położona jest </w:t>
            </w:r>
            <w:r>
              <w:rPr>
                <w:sz w:val="22"/>
                <w:szCs w:val="22"/>
              </w:rPr>
              <w:br/>
              <w:t xml:space="preserve">w obszarze o symbolu OM.VI.A – tereny </w:t>
            </w:r>
            <w:proofErr w:type="spellStart"/>
            <w:r>
              <w:rPr>
                <w:sz w:val="22"/>
                <w:szCs w:val="22"/>
              </w:rPr>
              <w:t>ogólno</w:t>
            </w:r>
            <w:proofErr w:type="spellEnd"/>
            <w:r>
              <w:rPr>
                <w:sz w:val="22"/>
                <w:szCs w:val="22"/>
              </w:rPr>
              <w:t xml:space="preserve"> mieszkaniowe </w:t>
            </w:r>
          </w:p>
          <w:p w:rsidR="006E726C" w:rsidRDefault="006E726C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26C" w:rsidRDefault="006E726C">
            <w:pPr>
              <w:pStyle w:val="Standard"/>
              <w:snapToGrid w:val="0"/>
              <w:jc w:val="both"/>
            </w:pPr>
            <w:r>
              <w:t>Dzierżawa działki nr 44/2 o pow. 293m², z przeznaczeniem na polepszenie zagospodarowania nieruchomości przyległej.</w:t>
            </w:r>
          </w:p>
          <w:p w:rsidR="006E726C" w:rsidRDefault="006E726C">
            <w:pPr>
              <w:pStyle w:val="Standard"/>
              <w:snapToGrid w:val="0"/>
              <w:jc w:val="both"/>
            </w:pPr>
          </w:p>
          <w:p w:rsidR="006E726C" w:rsidRDefault="006E726C">
            <w:pPr>
              <w:pStyle w:val="Standard"/>
              <w:snapToGrid w:val="0"/>
              <w:jc w:val="both"/>
            </w:pPr>
            <w:r>
              <w:t>Umowa dzierżawy zostanie zawarta na czas nieoznaczony.</w:t>
            </w:r>
          </w:p>
        </w:tc>
        <w:tc>
          <w:tcPr>
            <w:tcW w:w="2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26C" w:rsidRDefault="006E726C">
            <w:pPr>
              <w:pStyle w:val="Standard"/>
              <w:snapToGrid w:val="0"/>
              <w:ind w:right="5"/>
              <w:jc w:val="both"/>
            </w:pPr>
            <w:r>
              <w:t xml:space="preserve">2 zł netto rocznie za </w:t>
            </w:r>
            <w:r>
              <w:br/>
              <w:t>1 m² gruntu + podatek VAT w stawce obowiązującej.</w:t>
            </w:r>
          </w:p>
          <w:p w:rsidR="006E726C" w:rsidRDefault="006E726C">
            <w:pPr>
              <w:pStyle w:val="Standard"/>
              <w:snapToGrid w:val="0"/>
              <w:ind w:right="5"/>
            </w:pPr>
          </w:p>
          <w:p w:rsidR="006E726C" w:rsidRDefault="006E726C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Czynsz płatny rocznie do </w:t>
            </w:r>
            <w:r>
              <w:rPr>
                <w:rFonts w:cs="Times New Roman"/>
                <w:color w:val="000000"/>
              </w:rPr>
              <w:br/>
              <w:t>31 marca każdego roku z góry.</w:t>
            </w:r>
          </w:p>
          <w:p w:rsidR="006E726C" w:rsidRDefault="006E726C">
            <w:pPr>
              <w:pStyle w:val="Standard"/>
              <w:snapToGrid w:val="0"/>
              <w:ind w:right="5"/>
              <w:jc w:val="both"/>
            </w:pPr>
            <w:r>
              <w:rPr>
                <w:rFonts w:cs="Times New Roman"/>
                <w:color w:val="000000"/>
              </w:rPr>
              <w:br/>
              <w:t>Waloryzacja czynszu na podstawie obowiązującego Zarządzenia Prezydenta Miasta Świnoujście</w:t>
            </w:r>
          </w:p>
        </w:tc>
      </w:tr>
    </w:tbl>
    <w:p w:rsidR="006E726C" w:rsidRDefault="006E726C" w:rsidP="006E726C">
      <w:pPr>
        <w:pStyle w:val="Standard"/>
        <w:ind w:left="7080" w:firstLine="708"/>
        <w:jc w:val="both"/>
      </w:pPr>
    </w:p>
    <w:p w:rsidR="006E726C" w:rsidRDefault="006E726C" w:rsidP="006E726C">
      <w:pPr>
        <w:pStyle w:val="Standard"/>
        <w:ind w:left="9204" w:firstLine="708"/>
        <w:jc w:val="both"/>
      </w:pPr>
    </w:p>
    <w:p w:rsidR="006E726C" w:rsidRDefault="006E726C" w:rsidP="006E726C">
      <w:pPr>
        <w:pStyle w:val="Standard"/>
        <w:ind w:left="9204" w:firstLine="708"/>
        <w:jc w:val="both"/>
      </w:pPr>
    </w:p>
    <w:p w:rsidR="006E726C" w:rsidRDefault="006E726C" w:rsidP="006E726C">
      <w:pPr>
        <w:pStyle w:val="Standard"/>
        <w:ind w:left="9204" w:firstLine="708"/>
        <w:jc w:val="both"/>
      </w:pPr>
    </w:p>
    <w:p w:rsidR="006E726C" w:rsidRDefault="006E726C" w:rsidP="006E726C">
      <w:pPr>
        <w:pStyle w:val="Standard"/>
        <w:ind w:left="9204" w:firstLine="708"/>
        <w:jc w:val="both"/>
      </w:pPr>
    </w:p>
    <w:p w:rsidR="006E726C" w:rsidRDefault="006E726C" w:rsidP="006E726C">
      <w:pPr>
        <w:pStyle w:val="Standard"/>
        <w:ind w:left="9204" w:firstLine="708"/>
        <w:jc w:val="both"/>
      </w:pPr>
    </w:p>
    <w:p w:rsidR="006E726C" w:rsidRDefault="006E726C" w:rsidP="006E726C">
      <w:pPr>
        <w:pStyle w:val="Standard"/>
        <w:ind w:left="9204" w:firstLine="708"/>
        <w:jc w:val="both"/>
      </w:pPr>
      <w:bookmarkStart w:id="0" w:name="_GoBack"/>
      <w:bookmarkEnd w:id="0"/>
    </w:p>
    <w:p w:rsidR="006E726C" w:rsidRDefault="006E726C" w:rsidP="006E726C">
      <w:pPr>
        <w:pStyle w:val="Standard"/>
        <w:ind w:left="9204" w:firstLine="708"/>
        <w:jc w:val="both"/>
      </w:pPr>
    </w:p>
    <w:p w:rsidR="006E726C" w:rsidRDefault="006E726C" w:rsidP="006E726C">
      <w:pPr>
        <w:pStyle w:val="Standard"/>
        <w:ind w:left="9204" w:firstLine="708"/>
        <w:jc w:val="both"/>
      </w:pPr>
    </w:p>
    <w:p w:rsidR="006E726C" w:rsidRDefault="006E726C" w:rsidP="006E726C">
      <w:pPr>
        <w:pStyle w:val="Standard"/>
        <w:ind w:left="9204"/>
        <w:jc w:val="both"/>
      </w:pPr>
    </w:p>
    <w:p w:rsidR="006E726C" w:rsidRDefault="006E726C" w:rsidP="006E726C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Czasookres wyłożenia wykazu do wglądu: od dnia 27 września 2021 r. do dnia  18 października 2021 r.</w:t>
      </w:r>
    </w:p>
    <w:p w:rsidR="006E726C" w:rsidRDefault="006E726C" w:rsidP="006E726C">
      <w:pPr>
        <w:pStyle w:val="Standard"/>
      </w:pPr>
    </w:p>
    <w:p w:rsidR="00F07A04" w:rsidRDefault="00F07A04"/>
    <w:sectPr w:rsidR="00F07A04" w:rsidSect="006E72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22"/>
    <w:rsid w:val="000F733B"/>
    <w:rsid w:val="00325DCE"/>
    <w:rsid w:val="00665249"/>
    <w:rsid w:val="006E726C"/>
    <w:rsid w:val="00B10722"/>
    <w:rsid w:val="00F0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CD324-C81A-40B6-BFFA-08A81B67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26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726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1074</Characters>
  <Application>Microsoft Office Word</Application>
  <DocSecurity>0</DocSecurity>
  <Lines>8</Lines>
  <Paragraphs>2</Paragraphs>
  <ScaleCrop>false</ScaleCrop>
  <Company>Urząd Miasta Świnoujście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Śliwińska Julita</dc:creator>
  <cp:keywords/>
  <dc:description/>
  <cp:lastModifiedBy>Śliwińska Julita</cp:lastModifiedBy>
  <cp:revision>2</cp:revision>
  <dcterms:created xsi:type="dcterms:W3CDTF">2021-09-28T12:12:00Z</dcterms:created>
  <dcterms:modified xsi:type="dcterms:W3CDTF">2021-09-28T12:12:00Z</dcterms:modified>
</cp:coreProperties>
</file>